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5D6C9637" w:rsidR="00DA43A7" w:rsidRDefault="007A39F5">
      <w:pPr>
        <w:jc w:val="center"/>
        <w:rPr>
          <w:b/>
          <w:color w:val="000000"/>
          <w:sz w:val="32"/>
          <w:szCs w:val="32"/>
        </w:rPr>
      </w:pPr>
      <w:bookmarkStart w:id="0" w:name="_Hlk145958833"/>
      <w:r w:rsidRPr="00F75415">
        <w:rPr>
          <w:b/>
          <w:color w:val="000000"/>
          <w:sz w:val="32"/>
          <w:szCs w:val="32"/>
        </w:rPr>
        <w:t xml:space="preserve">Antihistamine As </w:t>
      </w:r>
      <w:r>
        <w:rPr>
          <w:b/>
          <w:color w:val="000000"/>
          <w:sz w:val="32"/>
          <w:szCs w:val="32"/>
        </w:rPr>
        <w:t>a</w:t>
      </w:r>
      <w:r w:rsidRPr="00F75415">
        <w:rPr>
          <w:b/>
          <w:color w:val="000000"/>
          <w:sz w:val="32"/>
          <w:szCs w:val="32"/>
        </w:rPr>
        <w:t>n Adjunctive Treatment In Acne Vulgaris: A Systematic Review And Meta-Analysis</w:t>
      </w:r>
    </w:p>
    <w:bookmarkEnd w:id="0"/>
    <w:p w14:paraId="6A51B745" w14:textId="77777777" w:rsidR="00DA43A7" w:rsidRDefault="00DA43A7">
      <w:pPr>
        <w:rPr>
          <w:b/>
        </w:rPr>
      </w:pPr>
    </w:p>
    <w:p w14:paraId="5BF0CD9F" w14:textId="12469EB5" w:rsidR="00DA43A7" w:rsidRPr="00F75415" w:rsidRDefault="00F75415">
      <w:pPr>
        <w:rPr>
          <w:b/>
          <w:lang w:val="en-US"/>
        </w:rPr>
      </w:pPr>
      <w:bookmarkStart w:id="1" w:name="_Hlk143714779"/>
      <w:r>
        <w:rPr>
          <w:b/>
          <w:bCs/>
          <w:lang w:val="en-US"/>
        </w:rPr>
        <w:t>Denny Saptono Fahrurodzi, Kunlawat Thadanipon, Sasivimol Rattanasiri, Ammarin Thakkinstian</w:t>
      </w:r>
    </w:p>
    <w:bookmarkEnd w:id="1"/>
    <w:p w14:paraId="3B792E52" w14:textId="5BAA6008" w:rsidR="000B01C0" w:rsidRPr="000B01C0" w:rsidRDefault="000B01C0">
      <w:pPr>
        <w:rPr>
          <w:lang w:val="pt-BR"/>
        </w:rPr>
      </w:pPr>
      <w:r w:rsidRPr="000B01C0">
        <w:rPr>
          <w:lang w:val="pt-BR"/>
        </w:rPr>
        <w:t>U</w:t>
      </w:r>
      <w:r w:rsidR="00DC1660">
        <w:rPr>
          <w:lang w:val="pt-BR"/>
        </w:rPr>
        <w:t xml:space="preserve">niversitas </w:t>
      </w:r>
      <w:r w:rsidR="00F75415">
        <w:rPr>
          <w:lang w:val="pt-BR"/>
        </w:rPr>
        <w:t>Muhammadiyah Surakarta</w:t>
      </w:r>
      <w:r w:rsidR="00E66ABF">
        <w:rPr>
          <w:lang w:val="pt-BR"/>
        </w:rPr>
        <w:t>,</w:t>
      </w:r>
      <w:r w:rsidR="00DC1660">
        <w:rPr>
          <w:lang w:val="pt-BR"/>
        </w:rPr>
        <w:t xml:space="preserve"> Indonesia</w:t>
      </w:r>
      <w:r w:rsidR="00F75415">
        <w:rPr>
          <w:lang w:val="pt-BR"/>
        </w:rPr>
        <w:t>, Mahidol University, Thailand</w:t>
      </w:r>
    </w:p>
    <w:p w14:paraId="441F30BA" w14:textId="16C8350F" w:rsidR="000B01C0" w:rsidRPr="000B01C0" w:rsidRDefault="00000000">
      <w:pPr>
        <w:rPr>
          <w:lang w:val="pt-BR"/>
        </w:rPr>
      </w:pPr>
      <w:r w:rsidRPr="000B01C0">
        <w:rPr>
          <w:lang w:val="pt-BR"/>
        </w:rPr>
        <w:t xml:space="preserve">Email: </w:t>
      </w:r>
      <w:r w:rsidR="00F75415" w:rsidRPr="00F75415">
        <w:t>dsf795@ums.ac.id</w:t>
      </w:r>
      <w:r w:rsidR="00F75415">
        <w:t xml:space="preserve">, </w:t>
      </w:r>
      <w:r w:rsidR="00F75415" w:rsidRPr="00F75415">
        <w:t>kunlawat.tha@mahidol.ac.th</w:t>
      </w:r>
      <w:r w:rsidR="00F75415">
        <w:t xml:space="preserve">, </w:t>
      </w:r>
      <w:r w:rsidR="00F75415" w:rsidRPr="00F75415">
        <w:t>sasivimol.rat@mahidol.ac.th</w:t>
      </w:r>
      <w:r w:rsidR="00F75415">
        <w:t xml:space="preserve">, </w:t>
      </w:r>
      <w:r w:rsidR="00F75415" w:rsidRPr="00F75415">
        <w:t>ammarin.tha@mahidol.ac.th</w:t>
      </w:r>
    </w:p>
    <w:p w14:paraId="048AD261" w14:textId="2C25E06B" w:rsidR="00DA43A7" w:rsidRPr="000B01C0" w:rsidRDefault="00000000">
      <w:pPr>
        <w:rPr>
          <w:lang w:val="pt-BR"/>
        </w:rPr>
      </w:pPr>
      <w:r w:rsidRPr="000B01C0">
        <w:rPr>
          <w:lang w:val="pt-BR"/>
        </w:rPr>
        <w:tab/>
        <w:t xml:space="preserve"> </w:t>
      </w:r>
    </w:p>
    <w:p w14:paraId="5CB59327" w14:textId="15C99484" w:rsidR="00DA43A7" w:rsidRPr="000B01C0" w:rsidRDefault="00000000">
      <w:pPr>
        <w:jc w:val="both"/>
        <w:rPr>
          <w:lang w:val="pt-BR"/>
        </w:rPr>
      </w:pPr>
      <w:r w:rsidRPr="000B01C0">
        <w:rPr>
          <w:lang w:val="pt-BR"/>
        </w:rPr>
        <w:t xml:space="preserve">* Correspondence: </w:t>
      </w:r>
      <w:r w:rsidR="00F75415" w:rsidRPr="00F75415">
        <w:rPr>
          <w:lang w:val="pt-BR"/>
        </w:rPr>
        <w:t>dsf795@ums.ac.id</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3A6A37E2" w:rsidR="00DA43A7" w:rsidRDefault="00F75415">
            <w:r w:rsidRPr="00F75415">
              <w:t>Antihistamine</w:t>
            </w:r>
            <w:r>
              <w:t>;</w:t>
            </w:r>
            <w:r w:rsidRPr="00F75415">
              <w:t xml:space="preserve"> acne vulgaris</w:t>
            </w:r>
          </w:p>
        </w:tc>
        <w:tc>
          <w:tcPr>
            <w:tcW w:w="5979" w:type="dxa"/>
            <w:vMerge w:val="restart"/>
            <w:tcBorders>
              <w:top w:val="single" w:sz="4" w:space="0" w:color="000000"/>
              <w:left w:val="nil"/>
              <w:bottom w:val="single" w:sz="4" w:space="0" w:color="000000"/>
              <w:right w:val="nil"/>
            </w:tcBorders>
          </w:tcPr>
          <w:p w14:paraId="578979C2" w14:textId="588603FA" w:rsidR="00DA43A7" w:rsidRPr="00984D46" w:rsidRDefault="00F75415" w:rsidP="00763E27">
            <w:pPr>
              <w:jc w:val="both"/>
              <w:rPr>
                <w:lang w:val="en-ID"/>
              </w:rPr>
            </w:pPr>
            <w:r w:rsidRPr="00F75415">
              <w:rPr>
                <w:lang w:val="en-ID"/>
              </w:rPr>
              <w:t>Approximately one-tenth of the global population suffer from acne vulgaris, which is a skin disease with considerable psychological impact. Recently, antihistamines have been used in the treatment of acne. However, their overall treatment effects for this indication remain unclear. This systematic review and meta-analysis aim to evaluate the clinical efficacy and safety of the antihistamines in the treatment of acne vulgaris. The following databases were searched: PubMed, Scopus, Embase, Cochrane Central Register of Controlled Clinical Trials, and Google Scholar. We included the randomized controlled trials on acne vulgaris patients which compared any H1- antihistamine drug in combination with other medications to placebo, no treatment, or other medications, with acne lesion (non-inflammatory and inflammatory) counts, acne severity score, patient satisfaction, acne flare, or adverse events as an outcome of interest. Six studies contributing to 388 patients were included, involving two H1 antihistamines (i.e., levocetrizine and desloratadine), isotretinoin, azithromycin, and topical azelaic acid cream. From the network meta–analysis, levocetirizine+isotretinoin was better than the isotretinoin alone in the inflammatory lesion count, but not in the non-inflammatory lesion count. The desloratadine+isotretinoin retained the best balance in terms of non-inflammatory lesion count, inflammatory lesion count, acne flare, and mucocutaneous adverse events. The desloratadine+isotretinoin and levocetirizine+isotretinoin were considered safe</w:t>
            </w:r>
            <w:r w:rsidR="00763E27" w:rsidRPr="00984D46">
              <w:rPr>
                <w:lang w:val="en-ID"/>
              </w:rPr>
              <w: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pPr>
              <w:widowControl w:val="0"/>
              <w:pBdr>
                <w:top w:val="nil"/>
                <w:left w:val="nil"/>
                <w:bottom w:val="nil"/>
                <w:right w:val="nil"/>
                <w:between w:val="nil"/>
              </w:pBdr>
              <w:spacing w:line="276" w:lineRule="auto"/>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pPr>
        <w:spacing w:line="276" w:lineRule="auto"/>
      </w:pPr>
    </w:p>
    <w:p w14:paraId="7279B0F8" w14:textId="77777777" w:rsidR="00C432CC" w:rsidRDefault="00C432CC" w:rsidP="00C432CC">
      <w:pPr>
        <w:pBdr>
          <w:top w:val="nil"/>
          <w:left w:val="nil"/>
          <w:bottom w:val="nil"/>
          <w:right w:val="nil"/>
          <w:between w:val="nil"/>
        </w:pBdr>
        <w:spacing w:line="276" w:lineRule="auto"/>
        <w:jc w:val="both"/>
        <w:rPr>
          <w:b/>
          <w:color w:val="000000"/>
          <w:sz w:val="28"/>
          <w:szCs w:val="28"/>
        </w:rPr>
      </w:pPr>
    </w:p>
    <w:p w14:paraId="3B5D70A9" w14:textId="77777777" w:rsidR="007A39F5" w:rsidRDefault="007A39F5" w:rsidP="00C432CC">
      <w:pPr>
        <w:pBdr>
          <w:top w:val="nil"/>
          <w:left w:val="nil"/>
          <w:bottom w:val="nil"/>
          <w:right w:val="nil"/>
          <w:between w:val="nil"/>
        </w:pBdr>
        <w:spacing w:line="276" w:lineRule="auto"/>
        <w:jc w:val="both"/>
        <w:rPr>
          <w:b/>
          <w:color w:val="000000"/>
          <w:sz w:val="28"/>
          <w:szCs w:val="28"/>
        </w:rPr>
      </w:pPr>
    </w:p>
    <w:p w14:paraId="78D4C912" w14:textId="74155C0F" w:rsidR="00F75415" w:rsidRPr="00C432CC" w:rsidRDefault="00000000" w:rsidP="00C432CC">
      <w:pPr>
        <w:pBdr>
          <w:top w:val="nil"/>
          <w:left w:val="nil"/>
          <w:bottom w:val="nil"/>
          <w:right w:val="nil"/>
          <w:between w:val="nil"/>
        </w:pBdr>
        <w:spacing w:line="276" w:lineRule="auto"/>
        <w:jc w:val="both"/>
        <w:rPr>
          <w:color w:val="000000"/>
          <w:sz w:val="28"/>
          <w:szCs w:val="28"/>
        </w:rPr>
      </w:pPr>
      <w:r>
        <w:rPr>
          <w:b/>
          <w:color w:val="000000"/>
          <w:sz w:val="28"/>
          <w:szCs w:val="28"/>
        </w:rPr>
        <w:lastRenderedPageBreak/>
        <w:t>Introduction</w:t>
      </w:r>
      <w:r>
        <w:rPr>
          <w:color w:val="000000"/>
          <w:sz w:val="28"/>
          <w:szCs w:val="28"/>
        </w:rPr>
        <w:t xml:space="preserve"> </w:t>
      </w:r>
      <w:bookmarkStart w:id="2" w:name="_gjdgxs" w:colFirst="0" w:colLast="0"/>
      <w:bookmarkEnd w:id="2"/>
    </w:p>
    <w:p w14:paraId="1632AE87" w14:textId="025469C5" w:rsidR="00F75415" w:rsidRPr="00F75415" w:rsidRDefault="00F75415" w:rsidP="00F75415">
      <w:pPr>
        <w:ind w:firstLine="720"/>
        <w:jc w:val="both"/>
        <w:rPr>
          <w:lang w:val="en-ID"/>
        </w:rPr>
      </w:pPr>
      <w:r w:rsidRPr="00F75415">
        <w:rPr>
          <w:lang w:val="en-ID"/>
        </w:rPr>
        <w:t>Worldwide, 9.4% of the global population suffers from acne, make acne has position as the eighth most prevalent diseases worldwide and one of the common skin diseases that is highly affected in adolescents in the general population</w:t>
      </w:r>
      <w:r w:rsidR="00FA419F">
        <w:rPr>
          <w:lang w:val="en-ID"/>
        </w:rPr>
        <w:t xml:space="preserve"> </w:t>
      </w:r>
      <w:r w:rsidR="002804A6">
        <w:rPr>
          <w:lang w:val="en-ID"/>
        </w:rPr>
        <w:fldChar w:fldCharType="begin" w:fldLock="1"/>
      </w:r>
      <w:r w:rsidR="002804A6">
        <w:rPr>
          <w:lang w:val="en-ID"/>
        </w:rPr>
        <w:instrText>ADDIN CSL_CITATION {"citationItems":[{"id":"ITEM-1","itemData":{"ISSN":"0007-0963","author":[{"dropping-particle":"","family":"Tan","given":"Jerry K L","non-dropping-particle":"","parse-names":false,"suffix":""},{"dropping-particle":"","family":"Bhate","given":"K","non-dropping-particle":"","parse-names":false,"suffix":""}],"container-title":"British Journal of Dermatology","id":"ITEM-1","issued":{"date-parts":[["2015"]]},"page":"3-12","publisher":"Wiley Online Library","title":"A global perspective on the epidemiology of acne","type":"article-journal","volume":"172"},"uris":["http://www.mendeley.com/documents/?uuid=8ef1b3db-b989-4b23-be65-5ec8af5d0dce"]}],"mendeley":{"formattedCitation":"(Tan &amp; Bhate, 2015)","plainTextFormattedCitation":"(Tan &amp; Bhate, 2015)","previouslyFormattedCitation":"(Tan &amp; Bhate, 2015)"},"properties":{"noteIndex":0},"schema":"https://github.com/citation-style-language/schema/raw/master/csl-citation.json"}</w:instrText>
      </w:r>
      <w:r w:rsidR="002804A6">
        <w:rPr>
          <w:lang w:val="en-ID"/>
        </w:rPr>
        <w:fldChar w:fldCharType="separate"/>
      </w:r>
      <w:r w:rsidR="002804A6" w:rsidRPr="002804A6">
        <w:rPr>
          <w:noProof/>
          <w:lang w:val="en-ID"/>
        </w:rPr>
        <w:t>(Tan &amp; Bhate, 2015)</w:t>
      </w:r>
      <w:r w:rsidR="002804A6">
        <w:rPr>
          <w:lang w:val="en-ID"/>
        </w:rPr>
        <w:fldChar w:fldCharType="end"/>
      </w:r>
      <w:r w:rsidRPr="00F75415">
        <w:rPr>
          <w:lang w:val="en-ID"/>
        </w:rPr>
        <w:t>, as shown by the studies from Pakistan (adolescents versus adults: 65% vs 28%)</w:t>
      </w:r>
      <w:r w:rsidR="00FA419F">
        <w:rPr>
          <w:lang w:val="en-ID"/>
        </w:rPr>
        <w:t xml:space="preserve"> </w:t>
      </w:r>
      <w:r w:rsidR="002804A6">
        <w:rPr>
          <w:lang w:val="en-ID"/>
        </w:rPr>
        <w:fldChar w:fldCharType="begin" w:fldLock="1"/>
      </w:r>
      <w:r w:rsidR="002804A6">
        <w:rPr>
          <w:lang w:val="en-ID"/>
        </w:rPr>
        <w:instrText>ADDIN CSL_CITATION {"citationItems":[{"id":"ITEM-1","itemData":{"ISSN":"2304-2478","author":[{"dropping-particle":"","family":"Ali","given":"Faiz","non-dropping-particle":"","parse-names":false,"suffix":""},{"dropping-particle":"","family":"Hasni","given":"Muhammad Shafi","non-dropping-particle":"","parse-names":false,"suffix":""},{"dropping-particle":"","family":"Ali","given":"Shah Zain","non-dropping-particle":"","parse-names":false,"suffix":""},{"dropping-particle":"","family":"Nadeem","given":"Muhammad","non-dropping-particle":"","parse-names":false,"suffix":""},{"dropping-particle":"","family":"Khan","given":"Anwer","non-dropping-particle":"","parse-names":false,"suffix":""},{"dropping-particle":"","family":"Mehak","given":"Tehmina","non-dropping-particle":"","parse-names":false,"suffix":""}],"container-title":"Pure and Applied Biology (PAB)","id":"ITEM-1","issue":"3","issued":{"date-parts":[["2019"]]},"page":"1919-1924","title":"5. Determination of various risk factors associated with acne vulgaris infection in Quetta, Pakistan","type":"article-journal","volume":"8"},"uris":["http://www.mendeley.com/documents/?uuid=901705f7-1d41-4b74-b4b7-7d30e210ddf4"]}],"mendeley":{"formattedCitation":"(Ali et al., 2019)","plainTextFormattedCitation":"(Ali et al., 2019)","previouslyFormattedCitation":"(Ali et al., 2019)"},"properties":{"noteIndex":0},"schema":"https://github.com/citation-style-language/schema/raw/master/csl-citation.json"}</w:instrText>
      </w:r>
      <w:r w:rsidR="002804A6">
        <w:rPr>
          <w:lang w:val="en-ID"/>
        </w:rPr>
        <w:fldChar w:fldCharType="separate"/>
      </w:r>
      <w:r w:rsidR="002804A6" w:rsidRPr="002804A6">
        <w:rPr>
          <w:noProof/>
          <w:lang w:val="en-ID"/>
        </w:rPr>
        <w:t>(Ali et al., 2019)</w:t>
      </w:r>
      <w:r w:rsidR="002804A6">
        <w:rPr>
          <w:lang w:val="en-ID"/>
        </w:rPr>
        <w:fldChar w:fldCharType="end"/>
      </w:r>
      <w:r w:rsidR="00FA419F">
        <w:rPr>
          <w:lang w:val="en-ID"/>
        </w:rPr>
        <w:t xml:space="preserve"> </w:t>
      </w:r>
      <w:r w:rsidRPr="00F75415">
        <w:rPr>
          <w:lang w:val="en-ID"/>
        </w:rPr>
        <w:t>and China (74.3% vs 25.7%)</w:t>
      </w:r>
      <w:r w:rsidR="00FA419F">
        <w:rPr>
          <w:lang w:val="en-ID"/>
        </w:rPr>
        <w:t xml:space="preserve"> </w:t>
      </w:r>
      <w:r w:rsidR="002804A6">
        <w:rPr>
          <w:lang w:val="en-ID"/>
        </w:rPr>
        <w:fldChar w:fldCharType="begin" w:fldLock="1"/>
      </w:r>
      <w:r w:rsidR="002804A6">
        <w:rPr>
          <w:lang w:val="en-ID"/>
        </w:rPr>
        <w:instrText>ADDIN CSL_CITATION {"citationItems":[{"id":"ITEM-1","itemData":{"ISSN":"1651-2057","author":[{"dropping-particle":"","family":"Shen","given":"Yiwei","non-dropping-particle":"","parse-names":false,"suffix":""},{"dropping-particle":"","family":"Wang","given":"Tinglin","non-dropping-particle":"","parse-names":false,"suffix":""},{"dropping-particle":"","family":"Zhou","given":"Cheng","non-dropping-particle":"","parse-names":false,"suffix":""},{"dropping-particle":"","family":"Wang","given":"Xiaoyan","non-dropping-particle":"","parse-names":false,"suffix":""},{"dropping-particle":"","family":"Ding","given":"Xiaolan","non-dropping-particle":"","parse-names":false,"suffix":""},{"dropping-particle":"","family":"Tian","given":"Shan","non-dropping-particle":"","parse-names":false,"suffix":""},{"dropping-particle":"","family":"Liu","given":"Ying","non-dropping-particle":"","parse-names":false,"suffix":""},{"dropping-particle":"","family":"Peng","given":"Guanghui","non-dropping-particle":"","parse-names":false,"suffix":""},{"dropping-particle":"","family":"Xue","given":"Shuqi","non-dropping-particle":"","parse-names":false,"suffix":""},{"dropping-particle":"","family":"Zhou","given":"June","non-dropping-particle":"","parse-names":false,"suffix":""}],"container-title":"Acta dermato-venereologica","id":"ITEM-1","issue":"1","issued":{"date-parts":[["2012"]]},"page":"40-44","title":"Prevalence of acne vulgaris in Chinese adolescents and adults: a community-based study of 17,345 subjects in six cities","type":"article-journal","volume":"92"},"uris":["http://www.mendeley.com/documents/?uuid=7f5113d1-e632-4857-bddb-158ece30f88c"]}],"mendeley":{"formattedCitation":"(Shen et al., 2012)","plainTextFormattedCitation":"(Shen et al., 2012)","previouslyFormattedCitation":"(Shen et al., 2012)"},"properties":{"noteIndex":0},"schema":"https://github.com/citation-style-language/schema/raw/master/csl-citation.json"}</w:instrText>
      </w:r>
      <w:r w:rsidR="002804A6">
        <w:rPr>
          <w:lang w:val="en-ID"/>
        </w:rPr>
        <w:fldChar w:fldCharType="separate"/>
      </w:r>
      <w:r w:rsidR="002804A6" w:rsidRPr="002804A6">
        <w:rPr>
          <w:noProof/>
          <w:lang w:val="en-ID"/>
        </w:rPr>
        <w:t>(Shen et al., 2012)</w:t>
      </w:r>
      <w:r w:rsidR="002804A6">
        <w:rPr>
          <w:lang w:val="en-ID"/>
        </w:rPr>
        <w:fldChar w:fldCharType="end"/>
      </w:r>
      <w:r w:rsidRPr="00F75415">
        <w:rPr>
          <w:lang w:val="en-ID"/>
        </w:rPr>
        <w:t>. Furthermore, acne vulgaris is more prevalent in male than female adolescents</w:t>
      </w:r>
      <w:r w:rsidR="00FA419F">
        <w:rPr>
          <w:lang w:val="en-ID"/>
        </w:rPr>
        <w:t xml:space="preserve"> </w:t>
      </w:r>
      <w:r w:rsidR="002804A6">
        <w:rPr>
          <w:lang w:val="en-ID"/>
        </w:rPr>
        <w:fldChar w:fldCharType="begin" w:fldLock="1"/>
      </w:r>
      <w:r w:rsidR="002804A6">
        <w:rPr>
          <w:lang w:val="en-ID"/>
        </w:rPr>
        <w:instrText>ADDIN CSL_CITATION {"citationItems":[{"id":"ITEM-1","itemData":{"ISSN":"2090-2972","author":[{"dropping-particle":"","family":"Al-Kubaisy","given":"Waqar","non-dropping-particle":"","parse-names":false,"suffix":""},{"dropping-particle":"","family":"Abdullah","given":"Nik Nairan","non-dropping-particle":"","parse-names":false,"suffix":""},{"dropping-particle":"","family":"Kahn","given":"Sabzali Musa","non-dropping-particle":"","parse-names":false,"suffix":""},{"dropping-particle":"","family":"Zia","given":"Maram","non-dropping-particle":"","parse-names":false,"suffix":""}],"container-title":"Epidemiology Research International","id":"ITEM-1","issued":{"date-parts":[["2014"]]},"publisher":"Hindawi","title":"Sociodemographic characteristics of acne among university students in Damascus, Syria","type":"article-journal","volume":"2014"},"uris":["http://www.mendeley.com/documents/?uuid=5ef5ea67-58c8-4a7b-b950-818229006763"]}],"mendeley":{"formattedCitation":"(Al-Kubaisy, Abdullah, Kahn, &amp; Zia, 2014)","plainTextFormattedCitation":"(Al-Kubaisy, Abdullah, Kahn, &amp; Zia, 2014)","previouslyFormattedCitation":"(Al-Kubaisy, Abdullah, Kahn, &amp; Zia, 2014)"},"properties":{"noteIndex":0},"schema":"https://github.com/citation-style-language/schema/raw/master/csl-citation.json"}</w:instrText>
      </w:r>
      <w:r w:rsidR="002804A6">
        <w:rPr>
          <w:lang w:val="en-ID"/>
        </w:rPr>
        <w:fldChar w:fldCharType="separate"/>
      </w:r>
      <w:r w:rsidR="002804A6" w:rsidRPr="002804A6">
        <w:rPr>
          <w:noProof/>
          <w:lang w:val="en-ID"/>
        </w:rPr>
        <w:t>(Al-Kubaisy, Abdullah, Kahn, &amp; Zia, 2014)</w:t>
      </w:r>
      <w:r w:rsidR="002804A6">
        <w:rPr>
          <w:lang w:val="en-ID"/>
        </w:rPr>
        <w:fldChar w:fldCharType="end"/>
      </w:r>
      <w:r w:rsidRPr="00F75415">
        <w:rPr>
          <w:lang w:val="en-ID"/>
        </w:rPr>
        <w:t>, while females are more prone to acne in adults</w:t>
      </w:r>
      <w:r w:rsidR="00FA419F">
        <w:rPr>
          <w:lang w:val="en-ID"/>
        </w:rPr>
        <w:t xml:space="preserve"> </w:t>
      </w:r>
      <w:r w:rsidR="002804A6">
        <w:rPr>
          <w:lang w:val="en-ID"/>
        </w:rPr>
        <w:fldChar w:fldCharType="begin" w:fldLock="1"/>
      </w:r>
      <w:r w:rsidR="002804A6">
        <w:rPr>
          <w:lang w:val="en-ID"/>
        </w:rPr>
        <w:instrText>ADDIN CSL_CITATION {"citationItems":[{"id":"ITEM-1","itemData":{"author":[{"dropping-particle":"","family":"Tanghetti","given":"Emil A","non-dropping-particle":"","parse-names":false,"suffix":""},{"dropping-particle":"","family":"Kawata","given":"Ariane K","non-dropping-particle":"","parse-names":false,"suffix":""},{"dropping-particle":"","family":"Daniels","given":"Selena R","non-dropping-particle":"","parse-names":false,"suffix":""},{"dropping-particle":"","family":"Yeomans","given":"Karen","non-dropping-particle":"","parse-names":false,"suffix":""},{"dropping-particle":"","family":"Burk","given":"Caroline T","non-dropping-particle":"","parse-names":false,"suffix":""},{"dropping-particle":"","family":"Callender","given":"Valerie D","non-dropping-particle":"","parse-names":false,"suffix":""}],"container-title":"The Journal of clinical and aesthetic dermatology","id":"ITEM-1","issue":"2","issued":{"date-parts":[["2014"]]},"page":"22","publisher":"Matrix Medical Communications","title":"Understanding the burden of adult female acne","type":"article-journal","volume":"7"},"uris":["http://www.mendeley.com/documents/?uuid=fe689bd6-2b4f-4480-9761-ce973ada6734"]}],"mendeley":{"formattedCitation":"(Tanghetti et al., 2014)","plainTextFormattedCitation":"(Tanghetti et al., 2014)","previouslyFormattedCitation":"(Tanghetti et al., 2014)"},"properties":{"noteIndex":0},"schema":"https://github.com/citation-style-language/schema/raw/master/csl-citation.json"}</w:instrText>
      </w:r>
      <w:r w:rsidR="002804A6">
        <w:rPr>
          <w:lang w:val="en-ID"/>
        </w:rPr>
        <w:fldChar w:fldCharType="separate"/>
      </w:r>
      <w:r w:rsidR="002804A6" w:rsidRPr="002804A6">
        <w:rPr>
          <w:noProof/>
          <w:lang w:val="en-ID"/>
        </w:rPr>
        <w:t>(Tanghetti et al., 2014)</w:t>
      </w:r>
      <w:r w:rsidR="002804A6">
        <w:rPr>
          <w:lang w:val="en-ID"/>
        </w:rPr>
        <w:fldChar w:fldCharType="end"/>
      </w:r>
      <w:r w:rsidR="002804A6">
        <w:rPr>
          <w:lang w:val="en-ID"/>
        </w:rPr>
        <w:t xml:space="preserve"> </w:t>
      </w:r>
      <w:r w:rsidR="002804A6">
        <w:rPr>
          <w:lang w:val="en-ID"/>
        </w:rPr>
        <w:fldChar w:fldCharType="begin" w:fldLock="1"/>
      </w:r>
      <w:r w:rsidR="002804A6">
        <w:rPr>
          <w:lang w:val="en-ID"/>
        </w:rPr>
        <w:instrText>ADDIN CSL_CITATION {"citationItems":[{"id":"ITEM-1","itemData":{"ISSN":"1660-5527","author":[{"dropping-particle":"","family":"Holzmann","given":"R","non-dropping-particle":"","parse-names":false,"suffix":""},{"dropping-particle":"","family":"Shakery","given":"K","non-dropping-particle":"","parse-names":false,"suffix":""}],"container-title":"Skin pharmacology and physiology","id":"ITEM-1","issue":"Suppl. 1","issued":{"date-parts":[["2013"]]},"page":"3-8","publisher":"S. Karger AG","title":"Postadolescent acne in females","type":"article-journal","volume":"27"},"uris":["http://www.mendeley.com/documents/?uuid=c4aa794c-c038-4e25-af49-678ee1bad4da"]}],"mendeley":{"formattedCitation":"(Holzmann &amp; Shakery, 2013)","plainTextFormattedCitation":"(Holzmann &amp; Shakery, 2013)","previouslyFormattedCitation":"(Holzmann &amp; Shakery, 2013)"},"properties":{"noteIndex":0},"schema":"https://github.com/citation-style-language/schema/raw/master/csl-citation.json"}</w:instrText>
      </w:r>
      <w:r w:rsidR="002804A6">
        <w:rPr>
          <w:lang w:val="en-ID"/>
        </w:rPr>
        <w:fldChar w:fldCharType="separate"/>
      </w:r>
      <w:r w:rsidR="002804A6" w:rsidRPr="002804A6">
        <w:rPr>
          <w:noProof/>
          <w:lang w:val="en-ID"/>
        </w:rPr>
        <w:t>(Holzmann &amp; Shakery, 2013)</w:t>
      </w:r>
      <w:r w:rsidR="002804A6">
        <w:rPr>
          <w:lang w:val="en-ID"/>
        </w:rPr>
        <w:fldChar w:fldCharType="end"/>
      </w:r>
      <w:r w:rsidR="00892439">
        <w:rPr>
          <w:lang w:val="en-ID"/>
        </w:rPr>
        <w:t xml:space="preserve">. </w:t>
      </w:r>
      <w:r w:rsidRPr="00F75415">
        <w:rPr>
          <w:lang w:val="en-ID"/>
        </w:rPr>
        <w:t>Although acne vulgaris does not have impact on mortality, it has impact on psychological health, where patients develop depressive symptoms, lower self-attitude, more feelings of uselessness, fewer feelings of pride, lower self-worth, and lower body satisfaction</w:t>
      </w:r>
      <w:r w:rsidR="00892439">
        <w:rPr>
          <w:lang w:val="en-ID"/>
        </w:rPr>
        <w:t xml:space="preserve"> </w:t>
      </w:r>
      <w:r w:rsidR="002804A6">
        <w:rPr>
          <w:lang w:val="en-ID"/>
        </w:rPr>
        <w:fldChar w:fldCharType="begin" w:fldLock="1"/>
      </w:r>
      <w:r w:rsidR="002804A6">
        <w:rPr>
          <w:lang w:val="en-ID"/>
        </w:rPr>
        <w:instrText>ADDIN CSL_CITATION {"citationItems":[{"id":"ITEM-1","itemData":{"ISSN":"0190-9622","author":[{"dropping-particle":"","family":"Dalgard","given":"Florence","non-dropping-particle":"","parse-names":false,"suffix":""},{"dropping-particle":"","family":"Gieler","given":"Uwe","non-dropping-particle":"","parse-names":false,"suffix":""},{"dropping-particle":"","family":"Holm","given":"Jan Øivind","non-dropping-particle":"","parse-names":false,"suffix":""},{"dropping-particle":"","family":"Bjertness","given":"Espen","non-dropping-particle":"","parse-names":false,"suffix":""},{"dropping-particle":"","family":"Hauser","given":"Stuart","non-dropping-particle":"","parse-names":false,"suffix":""}],"container-title":"Journal of the American Academy of Dermatology","id":"ITEM-1","issue":"5","issued":{"date-parts":[["2008"]]},"page":"746-751","publisher":"Elsevier","title":"Self-esteem and body satisfaction among late adolescents with acne: results from a population survey","type":"article-journal","volume":"59"},"uris":["http://www.mendeley.com/documents/?uuid=01baea57-06d8-473e-a522-31ee438b12fb"]}],"mendeley":{"formattedCitation":"(Dalgard, Gieler, Holm, Bjertness, &amp; Hauser, 2008)","plainTextFormattedCitation":"(Dalgard, Gieler, Holm, Bjertness, &amp; Hauser, 2008)","previouslyFormattedCitation":"(Dalgard, Gieler, Holm, Bjertness, &amp; Hauser, 2008)"},"properties":{"noteIndex":0},"schema":"https://github.com/citation-style-language/schema/raw/master/csl-citation.json"}</w:instrText>
      </w:r>
      <w:r w:rsidR="002804A6">
        <w:rPr>
          <w:lang w:val="en-ID"/>
        </w:rPr>
        <w:fldChar w:fldCharType="separate"/>
      </w:r>
      <w:r w:rsidR="002804A6" w:rsidRPr="002804A6">
        <w:rPr>
          <w:noProof/>
          <w:lang w:val="en-ID"/>
        </w:rPr>
        <w:t>(Dalgard, Gieler, Holm, Bjertness, &amp; Hauser, 2008)</w:t>
      </w:r>
      <w:r w:rsidR="002804A6">
        <w:rPr>
          <w:lang w:val="en-ID"/>
        </w:rPr>
        <w:fldChar w:fldCharType="end"/>
      </w:r>
      <w:r w:rsidR="00892439">
        <w:rPr>
          <w:lang w:val="en-ID"/>
        </w:rPr>
        <w:t xml:space="preserve"> </w:t>
      </w:r>
      <w:r w:rsidR="002804A6">
        <w:rPr>
          <w:lang w:val="en-ID"/>
        </w:rPr>
        <w:fldChar w:fldCharType="begin" w:fldLock="1"/>
      </w:r>
      <w:r w:rsidR="002804A6">
        <w:rPr>
          <w:lang w:val="en-ID"/>
        </w:rPr>
        <w:instrText>ADDIN CSL_CITATION {"citationItems":[{"id":"ITEM-1","itemData":{"author":[{"dropping-particle":"","family":"Robaee","given":"Ahmad A","non-dropping-particle":"Al","parse-names":false,"suffix":""}],"container-title":"Acta Dermatovenerol Alp Panonica Adriat","id":"ITEM-1","issue":"4","issued":{"date-parts":[["2009"]]},"page":"157-164","title":"Assessment of general health and quality of life in patients with acne using a validated generic questionnaire","type":"article-journal","volume":"18"},"uris":["http://www.mendeley.com/documents/?uuid=18b2ddae-214a-4893-9f74-ed1a611f1a52"]}],"mendeley":{"formattedCitation":"(Al Robaee, 2009)","plainTextFormattedCitation":"(Al Robaee, 2009)","previouslyFormattedCitation":"(Al Robaee, 2009)"},"properties":{"noteIndex":0},"schema":"https://github.com/citation-style-language/schema/raw/master/csl-citation.json"}</w:instrText>
      </w:r>
      <w:r w:rsidR="002804A6">
        <w:rPr>
          <w:lang w:val="en-ID"/>
        </w:rPr>
        <w:fldChar w:fldCharType="separate"/>
      </w:r>
      <w:r w:rsidR="002804A6" w:rsidRPr="002804A6">
        <w:rPr>
          <w:noProof/>
          <w:lang w:val="en-ID"/>
        </w:rPr>
        <w:t>(Al Robaee, 2009)</w:t>
      </w:r>
      <w:r w:rsidR="002804A6">
        <w:rPr>
          <w:lang w:val="en-ID"/>
        </w:rPr>
        <w:fldChar w:fldCharType="end"/>
      </w:r>
      <w:r w:rsidR="002804A6">
        <w:rPr>
          <w:lang w:val="en-ID"/>
        </w:rPr>
        <w:t xml:space="preserve"> </w:t>
      </w:r>
      <w:r w:rsidRPr="00F75415">
        <w:rPr>
          <w:lang w:val="en-ID"/>
        </w:rPr>
        <w:t>due to the chronicity, and they spend approximately 400 million Euros annually to treat acne</w:t>
      </w:r>
      <w:r w:rsidR="00892439">
        <w:rPr>
          <w:lang w:val="en-ID"/>
        </w:rPr>
        <w:t xml:space="preserve"> </w:t>
      </w:r>
      <w:r w:rsidR="002804A6">
        <w:rPr>
          <w:lang w:val="en-ID"/>
        </w:rPr>
        <w:fldChar w:fldCharType="begin" w:fldLock="1"/>
      </w:r>
      <w:r w:rsidR="002804A6">
        <w:rPr>
          <w:lang w:val="en-ID"/>
        </w:rPr>
        <w:instrText>ADDIN CSL_CITATION {"citationItems":[{"id":"ITEM-1","itemData":{"ISSN":"1610-0379","author":[{"dropping-particle":"","family":"Radtke","given":"Marc A","non-dropping-particle":"","parse-names":false,"suffix":""},{"dropping-particle":"","family":"Schäfer","given":"Ines","non-dropping-particle":"","parse-names":false,"suffix":""},{"dropping-particle":"","family":"Augustin","given":"Matthias","non-dropping-particle":"","parse-names":false,"suffix":""}],"container-title":"JDDG: Journal der Deutschen Dermatologischen Gesellschaft","id":"ITEM-1","issued":{"date-parts":[["2010"]]},"page":"S105-S114","publisher":"Wiley Online Library","title":"Pharmakoökonomie der Akne–Bewertung von Nutzen und Wirtschaftlichkeit","type":"article-journal","volume":"8"},"uris":["http://www.mendeley.com/documents/?uuid=136f9df4-fba6-41c2-b890-64e4f08f5bc0"]}],"mendeley":{"formattedCitation":"(Radtke, Schäfer, &amp; Augustin, 2010)","plainTextFormattedCitation":"(Radtke, Schäfer, &amp; Augustin, 2010)","previouslyFormattedCitation":"(Radtke, Schäfer, &amp; Augustin, 2010)"},"properties":{"noteIndex":0},"schema":"https://github.com/citation-style-language/schema/raw/master/csl-citation.json"}</w:instrText>
      </w:r>
      <w:r w:rsidR="002804A6">
        <w:rPr>
          <w:lang w:val="en-ID"/>
        </w:rPr>
        <w:fldChar w:fldCharType="separate"/>
      </w:r>
      <w:r w:rsidR="002804A6" w:rsidRPr="002804A6">
        <w:rPr>
          <w:noProof/>
          <w:lang w:val="en-ID"/>
        </w:rPr>
        <w:t>(Radtke, Schäfer, &amp; Augustin, 2010)</w:t>
      </w:r>
      <w:r w:rsidR="002804A6">
        <w:rPr>
          <w:lang w:val="en-ID"/>
        </w:rPr>
        <w:fldChar w:fldCharType="end"/>
      </w:r>
      <w:r w:rsidRPr="00F75415">
        <w:rPr>
          <w:lang w:val="en-ID"/>
        </w:rPr>
        <w:t>.</w:t>
      </w:r>
    </w:p>
    <w:p w14:paraId="46CF06CD" w14:textId="577F3670" w:rsidR="00F75415" w:rsidRPr="00F75415" w:rsidRDefault="00F75415" w:rsidP="008412A7">
      <w:pPr>
        <w:ind w:firstLine="720"/>
        <w:jc w:val="both"/>
        <w:rPr>
          <w:lang w:val="en-ID"/>
        </w:rPr>
      </w:pPr>
      <w:r w:rsidRPr="00F75415">
        <w:rPr>
          <w:lang w:val="en-ID"/>
        </w:rPr>
        <w:t>The pathogenesis of acne involves the interplay of 4 factors, which are: (1) follicular hyperkeratinization, (2) sebum production, (3) Cutibacterium acnes, and (4) inflammation and immune response</w:t>
      </w:r>
      <w:r w:rsidR="00892439">
        <w:rPr>
          <w:lang w:val="en-ID"/>
        </w:rPr>
        <w:t xml:space="preserve"> </w:t>
      </w:r>
      <w:r w:rsidR="002804A6">
        <w:rPr>
          <w:lang w:val="en-ID"/>
        </w:rPr>
        <w:fldChar w:fldCharType="begin" w:fldLock="1"/>
      </w:r>
      <w:r w:rsidR="002804A6">
        <w:rPr>
          <w:lang w:val="en-ID"/>
        </w:rPr>
        <w:instrText>ADDIN CSL_CITATION {"citationItems":[{"id":"ITEM-1","itemData":{"ISSN":"0028-4793","author":[{"dropping-particle":"","family":"Zaenglein","given":"Andrea L","non-dropping-particle":"","parse-names":false,"suffix":""}],"container-title":"New England Journal of Medicine","id":"ITEM-1","issue":"14","issued":{"date-parts":[["2018"]]},"page":"1343-1352","publisher":"Mass Medical Soc","title":"Acne vulgaris","type":"article-journal","volume":"379"},"uris":["http://www.mendeley.com/documents/?uuid=d259fdfc-833a-4c6b-8383-fcc5577f3684"]}],"mendeley":{"formattedCitation":"(Zaenglein, 2018)","plainTextFormattedCitation":"(Zaenglein, 2018)","previouslyFormattedCitation":"(Zaenglein, 2018)"},"properties":{"noteIndex":0},"schema":"https://github.com/citation-style-language/schema/raw/master/csl-citation.json"}</w:instrText>
      </w:r>
      <w:r w:rsidR="002804A6">
        <w:rPr>
          <w:lang w:val="en-ID"/>
        </w:rPr>
        <w:fldChar w:fldCharType="separate"/>
      </w:r>
      <w:r w:rsidR="002804A6" w:rsidRPr="002804A6">
        <w:rPr>
          <w:noProof/>
          <w:lang w:val="en-ID"/>
        </w:rPr>
        <w:t>(Zaenglein, 2018)</w:t>
      </w:r>
      <w:r w:rsidR="002804A6">
        <w:rPr>
          <w:lang w:val="en-ID"/>
        </w:rPr>
        <w:fldChar w:fldCharType="end"/>
      </w:r>
      <w:r w:rsidR="0024578F">
        <w:rPr>
          <w:lang w:val="en-ID"/>
        </w:rPr>
        <w:t>; Goh et al, 2019)</w:t>
      </w:r>
      <w:r w:rsidRPr="00F75415">
        <w:rPr>
          <w:lang w:val="en-ID"/>
        </w:rPr>
        <w:t>. Firstly, follicular hyperkeratinization is the phenomenon of shedding of keratinocytes in abnormal speed that happens in the follicular infundibulum (i.e., the uppermost part of hair follicle). Linoleic acid, which is an essential fatty acid in the skin, regulates follicular keratinization. Follicular hyperkeratinization is induced by the low levels of linoleic acid. In individuals with acne, levels of linoleic acid are decreased</w:t>
      </w:r>
      <w:r w:rsidR="0024578F">
        <w:rPr>
          <w:lang w:val="en-ID"/>
        </w:rPr>
        <w:t xml:space="preserve"> (Goh et al, 2019)</w:t>
      </w:r>
      <w:r w:rsidRPr="00F75415">
        <w:rPr>
          <w:lang w:val="en-ID"/>
        </w:rPr>
        <w:t>. Secondly, sebum production by sebocytes that may lead to acne</w:t>
      </w:r>
      <w:r w:rsidR="0024578F">
        <w:rPr>
          <w:lang w:val="en-ID"/>
        </w:rPr>
        <w:t xml:space="preserve"> </w:t>
      </w:r>
      <w:r w:rsidR="002804A6">
        <w:rPr>
          <w:lang w:val="en-ID"/>
        </w:rPr>
        <w:fldChar w:fldCharType="begin" w:fldLock="1"/>
      </w:r>
      <w:r w:rsidR="002804A6">
        <w:rPr>
          <w:lang w:val="en-ID"/>
        </w:rPr>
        <w:instrText>ADDIN CSL_CITATION {"citationItems":[{"id":"ITEM-1","itemData":{"ISSN":"0340-3696","author":[{"dropping-particle":"","family":"Lai","given":"Jiann-Jyh","non-dropping-particle":"","parse-names":false,"suffix":""},{"dropping-particle":"","family":"Chang","given":"Philip","non-dropping-particle":"","parse-names":false,"suffix":""},{"dropping-particle":"","family":"Lai","given":"Kuo-Pao","non-dropping-particle":"","parse-names":false,"suffix":""},{"dropping-particle":"","family":"Chen","given":"Lumin","non-dropping-particle":"","parse-names":false,"suffix":""},{"dropping-particle":"","family":"Chang","given":"Chawnshang","non-dropping-particle":"","parse-names":false,"suffix":""}],"container-title":"Archives of dermatological research","id":"ITEM-1","issued":{"date-parts":[["2012"]]},"page":"499-510","publisher":"Springer","title":"The role of androgen and androgen receptor in skin-related disorders","type":"article-journal","volume":"304"},"uris":["http://www.mendeley.com/documents/?uuid=f5771ae8-3c78-4cac-a325-dec867b22487"]}],"mendeley":{"formattedCitation":"(Lai, Chang, Lai, Chen, &amp; Chang, 2012)","plainTextFormattedCitation":"(Lai, Chang, Lai, Chen, &amp; Chang, 2012)","previouslyFormattedCitation":"(Lai, Chang, Lai, Chen, &amp; Chang, 2012)"},"properties":{"noteIndex":0},"schema":"https://github.com/citation-style-language/schema/raw/master/csl-citation.json"}</w:instrText>
      </w:r>
      <w:r w:rsidR="002804A6">
        <w:rPr>
          <w:lang w:val="en-ID"/>
        </w:rPr>
        <w:fldChar w:fldCharType="separate"/>
      </w:r>
      <w:r w:rsidR="002804A6" w:rsidRPr="002804A6">
        <w:rPr>
          <w:noProof/>
          <w:lang w:val="en-ID"/>
        </w:rPr>
        <w:t>(Lai, Chang, Lai, Chen, &amp; Chang, 2012)</w:t>
      </w:r>
      <w:r w:rsidR="002804A6">
        <w:rPr>
          <w:lang w:val="en-ID"/>
        </w:rPr>
        <w:fldChar w:fldCharType="end"/>
      </w:r>
      <w:r w:rsidRPr="00F75415">
        <w:rPr>
          <w:lang w:val="en-ID"/>
        </w:rPr>
        <w:t>. Sebocytes are the cells responsible for producing sebum. They have several receptors for signaling molecules, such as corticotropin-releasing</w:t>
      </w:r>
      <w:r w:rsidR="008412A7">
        <w:rPr>
          <w:lang w:val="en-ID"/>
        </w:rPr>
        <w:t xml:space="preserve"> </w:t>
      </w:r>
      <w:r w:rsidRPr="00F75415">
        <w:rPr>
          <w:lang w:val="en-ID"/>
        </w:rPr>
        <w:t>hormone receptor, melanocortin-1 and -5 receptor, µ-opiate receptor, vasoactive intestinal peptide receptor, cannabid receptors, and histamine 1 receptor (H1) receptor, which belongs to the peptide hormone and neurotransmitter receptors group. H1 receptor has a role in the synthesis of squalene (i.e., the major lipid component of sebum) by sebocytes, where its ligand, antihistamine, can reduce squalene synthesis</w:t>
      </w:r>
      <w:r w:rsidR="0024578F">
        <w:rPr>
          <w:lang w:val="en-ID"/>
        </w:rPr>
        <w:t xml:space="preserve"> </w:t>
      </w:r>
      <w:r w:rsidR="002804A6">
        <w:rPr>
          <w:lang w:val="en-ID"/>
        </w:rPr>
        <w:fldChar w:fldCharType="begin" w:fldLock="1"/>
      </w:r>
      <w:r w:rsidR="002804A6">
        <w:rPr>
          <w:lang w:val="en-ID"/>
        </w:rPr>
        <w:instrText>ADDIN CSL_CITATION {"citationItems":[{"id":"ITEM-1","itemData":{"ISSN":"0022-202X","author":[{"dropping-particle":"","family":"Pelle","given":"Edward","non-dropping-particle":"","parse-names":false,"suffix":""},{"dropping-particle":"","family":"McCarthy","given":"James","non-dropping-particle":"","parse-names":false,"suffix":""},{"dropping-particle":"","family":"Seltmann","given":"Holger","non-dropping-particle":"","parse-names":false,"suffix":""},{"dropping-particle":"","family":"Huang","given":"Xi","non-dropping-particle":"","parse-names":false,"suffix":""},{"dropping-particle":"","family":"Mammone","given":"Thomas","non-dropping-particle":"","parse-names":false,"suffix":""},{"dropping-particle":"","family":"Zouboulis","given":"Christos C","non-dropping-particle":"","parse-names":false,"suffix":""},{"dropping-particle":"","family":"Maes","given":"Daniel","non-dropping-particle":"","parse-names":false,"suffix":""}],"container-title":"Journal of Investigative Dermatology","id":"ITEM-1","issue":"5","issued":{"date-parts":[["2008"]]},"page":"1280-1285","publisher":"Elsevier","title":"Identification of histamine receptors and reduction of squalene levels by an antihistamine in sebocytes","type":"article-journal","volume":"128"},"uris":["http://www.mendeley.com/documents/?uuid=3f9465f9-d71e-4936-89f5-3318d56db299"]}],"mendeley":{"formattedCitation":"(Pelle et al., 2008)","plainTextFormattedCitation":"(Pelle et al., 2008)","previouslyFormattedCitation":"(Pelle et al., 2008)"},"properties":{"noteIndex":0},"schema":"https://github.com/citation-style-language/schema/raw/master/csl-citation.json"}</w:instrText>
      </w:r>
      <w:r w:rsidR="002804A6">
        <w:rPr>
          <w:lang w:val="en-ID"/>
        </w:rPr>
        <w:fldChar w:fldCharType="separate"/>
      </w:r>
      <w:r w:rsidR="002804A6" w:rsidRPr="002804A6">
        <w:rPr>
          <w:noProof/>
          <w:lang w:val="en-ID"/>
        </w:rPr>
        <w:t>(Pelle et al., 2008)</w:t>
      </w:r>
      <w:r w:rsidR="002804A6">
        <w:rPr>
          <w:lang w:val="en-ID"/>
        </w:rPr>
        <w:fldChar w:fldCharType="end"/>
      </w:r>
      <w:r w:rsidR="0024578F">
        <w:rPr>
          <w:lang w:val="en-ID"/>
        </w:rPr>
        <w:t xml:space="preserve">; </w:t>
      </w:r>
      <w:r w:rsidR="002804A6">
        <w:rPr>
          <w:lang w:val="en-ID"/>
        </w:rPr>
        <w:fldChar w:fldCharType="begin" w:fldLock="1"/>
      </w:r>
      <w:r w:rsidR="002804A6">
        <w:rPr>
          <w:lang w:val="en-ID"/>
        </w:rPr>
        <w:instrText>ADDIN CSL_CITATION {"citationItems":[{"id":"ITEM-1","itemData":{"ISSN":"1938-1980","author":[{"dropping-particle":"","family":"Zouboulis","given":"Christos C","non-dropping-particle":"","parse-names":false,"suffix":""}],"container-title":"Dermato-endocrinology","id":"ITEM-1","issue":"2","issued":{"date-parts":[["2009"]]},"page":"77-80","publisher":"Taylor &amp; Francis","title":"Sebaceous gland receptors","type":"article-journal","volume":"1"},"uris":["http://www.mendeley.com/documents/?uuid=012d13db-a9da-46ce-9916-a3c1ee14800f"]}],"mendeley":{"formattedCitation":"(Zouboulis, 2009)","plainTextFormattedCitation":"(Zouboulis, 2009)","previouslyFormattedCitation":"(Zouboulis, 2009)"},"properties":{"noteIndex":0},"schema":"https://github.com/citation-style-language/schema/raw/master/csl-citation.json"}</w:instrText>
      </w:r>
      <w:r w:rsidR="002804A6">
        <w:rPr>
          <w:lang w:val="en-ID"/>
        </w:rPr>
        <w:fldChar w:fldCharType="separate"/>
      </w:r>
      <w:r w:rsidR="002804A6" w:rsidRPr="002804A6">
        <w:rPr>
          <w:noProof/>
          <w:lang w:val="en-ID"/>
        </w:rPr>
        <w:t>(Zouboulis, 2009)</w:t>
      </w:r>
      <w:r w:rsidR="002804A6">
        <w:rPr>
          <w:lang w:val="en-ID"/>
        </w:rPr>
        <w:fldChar w:fldCharType="end"/>
      </w:r>
      <w:r w:rsidRPr="00F75415">
        <w:rPr>
          <w:lang w:val="en-ID"/>
        </w:rPr>
        <w:t>. Sebum production is mainly regulated by androgen, but other substances also take part, including histamine. Next, C. acnes produces lipases, proteases, hyaluronidases, and chemotactic factors which induce inflammation and hypersensitivity response</w:t>
      </w:r>
      <w:r w:rsidR="0024578F">
        <w:rPr>
          <w:lang w:val="en-ID"/>
        </w:rPr>
        <w:t xml:space="preserve"> </w:t>
      </w:r>
      <w:r w:rsidR="002804A6">
        <w:rPr>
          <w:lang w:val="en-ID"/>
        </w:rPr>
        <w:fldChar w:fldCharType="begin" w:fldLock="1"/>
      </w:r>
      <w:r w:rsidR="002804A6">
        <w:rPr>
          <w:lang w:val="en-ID"/>
        </w:rPr>
        <w:instrText>ADDIN CSL_CITATION {"citationItems":[{"id":"ITEM-1","itemData":{"ISSN":"0028-4793","author":[{"dropping-particle":"","family":"Zaenglein","given":"Andrea L","non-dropping-particle":"","parse-names":false,"suffix":""}],"container-title":"New England Journal of Medicine","id":"ITEM-1","issue":"14","issued":{"date-parts":[["2018"]]},"page":"1343-1352","publisher":"Mass Medical Soc","title":"Acne vulgaris","type":"article-journal","volume":"379"},"uris":["http://www.mendeley.com/documents/?uuid=d259fdfc-833a-4c6b-8383-fcc5577f3684"]}],"mendeley":{"formattedCitation":"(Zaenglein, 2018)","plainTextFormattedCitation":"(Zaenglein, 2018)","previouslyFormattedCitation":"(Zaenglein, 2018)"},"properties":{"noteIndex":0},"schema":"https://github.com/citation-style-language/schema/raw/master/csl-citation.json"}</w:instrText>
      </w:r>
      <w:r w:rsidR="002804A6">
        <w:rPr>
          <w:lang w:val="en-ID"/>
        </w:rPr>
        <w:fldChar w:fldCharType="separate"/>
      </w:r>
      <w:r w:rsidR="002804A6" w:rsidRPr="002804A6">
        <w:rPr>
          <w:noProof/>
          <w:lang w:val="en-ID"/>
        </w:rPr>
        <w:t>(Zaenglein, 2018)</w:t>
      </w:r>
      <w:r w:rsidR="002804A6">
        <w:rPr>
          <w:lang w:val="en-ID"/>
        </w:rPr>
        <w:fldChar w:fldCharType="end"/>
      </w:r>
      <w:r w:rsidRPr="00F75415">
        <w:rPr>
          <w:lang w:val="en-ID"/>
        </w:rPr>
        <w:t>. Lastly, inflammation is also seen in the formation of acne lesions. There is an increased amount of CD4+ T-cells and interleukin-1 (IL-1) perifollicularly before the advent of hyperkeratinization in acne-prone sites. Through releasing lysosomal enzymes and generating reactive oxygen species, neutrophils promote inflammatory response, where levels of neutrophils in the skin and plasma may correlate with acne severity. Papules, nodules, and cysts are formed by the entrance of lymphocytes (predominantly T helper cells) and neutrophils</w:t>
      </w:r>
      <w:r w:rsidR="002804A6">
        <w:rPr>
          <w:lang w:val="en-ID"/>
        </w:rPr>
        <w:t>.</w:t>
      </w:r>
    </w:p>
    <w:p w14:paraId="1043DEEA" w14:textId="6D5DB03C" w:rsidR="008412A7" w:rsidRPr="0024578F" w:rsidRDefault="00F75415" w:rsidP="0024578F">
      <w:pPr>
        <w:ind w:firstLine="720"/>
        <w:jc w:val="both"/>
        <w:rPr>
          <w:lang w:val="en-ID"/>
        </w:rPr>
      </w:pPr>
      <w:r w:rsidRPr="00F75415">
        <w:rPr>
          <w:lang w:val="en-ID"/>
        </w:rPr>
        <w:t>Acne severity grade is classified based on the number of papules, pustules, and nodules adapted from the American Academy of Dermatology in South-East Asia Region. If the number of papules and pustules is few and there are no nodules, patients are classified as mild acne. Next, patients are classified as moderate acne if they have several papules or pustules, and few nodules. Finally, severe acne is the condition when there are many nodules.</w:t>
      </w:r>
    </w:p>
    <w:p w14:paraId="19138749" w14:textId="6D0B2006" w:rsidR="00F75415" w:rsidRPr="00F75415" w:rsidRDefault="00F75415" w:rsidP="00F75415">
      <w:pPr>
        <w:ind w:firstLine="720"/>
        <w:jc w:val="both"/>
        <w:rPr>
          <w:lang w:val="en-ID"/>
        </w:rPr>
      </w:pPr>
      <w:r w:rsidRPr="00F75415">
        <w:rPr>
          <w:lang w:val="en-ID"/>
        </w:rPr>
        <w:t>Usually, clinical history and physical examination that shows open comedones, closed comedones, papular, pustular, and nodular lesions to make a diagnosis of acne vulgaris and to grade its severity is used</w:t>
      </w:r>
      <w:r w:rsidR="002804A6">
        <w:rPr>
          <w:lang w:val="en-ID"/>
        </w:rPr>
        <w:t xml:space="preserve"> </w:t>
      </w:r>
      <w:r w:rsidR="002804A6">
        <w:rPr>
          <w:lang w:val="en-ID"/>
        </w:rPr>
        <w:fldChar w:fldCharType="begin" w:fldLock="1"/>
      </w:r>
      <w:r w:rsidR="002804A6">
        <w:rPr>
          <w:lang w:val="en-ID"/>
        </w:rPr>
        <w:instrText>ADDIN CSL_CITATION {"citationItems":[{"id":"ITEM-1","itemData":{"ISSN":"0385-2407","author":[{"dropping-particle":"","family":"Goh","given":"Chee Leok","non-dropping-particle":"","parse-names":false,"suffix":""},{"dropping-particle":"","family":"Abad‐Casintahan","given":"Flordeliz","non-dropping-particle":"","parse-names":false,"suffix":""},{"dropping-particle":"","family":"Aw","given":"Derrick Chen Wee","non-dropping-particle":"","parse-names":false,"suffix":""},{"dropping-particle":"","family":"Baba","given":"Roshidah","non-dropping-particle":"","parse-names":false,"suffix":""},{"dropping-particle":"","family":"Chan","given":"Lee Chin","non-dropping-particle":"","parse-names":false,"suffix":""},{"dropping-particle":"","family":"Hung","given":"Nguyen Thanh","non-dropping-particle":"","parse-names":false,"suffix":""},{"dropping-particle":"","family":"Kulthanan","given":"Kanokvalai","non-dropping-particle":"","parse-names":false,"suffix":""},{"dropping-particle":"","family":"Leong","given":"Hoe Nam","non-dropping-particle":"","parse-names":false,"suffix":""},{"dropping-particle":"","family":"Medina‐Oblepias","given":"Marie Socouer","non-dropping-particle":"","parse-names":false,"suffix":""},{"dropping-particle":"","family":"Noppakun","given":"Nopadon","non-dropping-particle":"","parse-names":false,"suffix":""}],"container-title":"The Journal of dermatology","id":"ITEM-1","issue":"10","issued":{"date-parts":[["2015"]]},"page":"945-953","publisher":"Wiley Online Library","title":"South‐East Asia study alliance guidelines on the management of acne vulgaris in South‐East Asian patients","type":"article-journal","volume":"42"},"uris":["http://www.mendeley.com/documents/?uuid=74260062-e44e-4ac0-95eb-447087ec7651"]}],"mendeley":{"formattedCitation":"(Goh et al., 2015)","plainTextFormattedCitation":"(Goh et al., 2015)","previouslyFormattedCitation":"(Goh et al., 2015)"},"properties":{"noteIndex":0},"schema":"https://github.com/citation-style-language/schema/raw/master/csl-citation.json"}</w:instrText>
      </w:r>
      <w:r w:rsidR="002804A6">
        <w:rPr>
          <w:lang w:val="en-ID"/>
        </w:rPr>
        <w:fldChar w:fldCharType="separate"/>
      </w:r>
      <w:r w:rsidR="002804A6" w:rsidRPr="002804A6">
        <w:rPr>
          <w:noProof/>
          <w:lang w:val="en-ID"/>
        </w:rPr>
        <w:t>(Goh et al., 2015)</w:t>
      </w:r>
      <w:r w:rsidR="002804A6">
        <w:rPr>
          <w:lang w:val="en-ID"/>
        </w:rPr>
        <w:fldChar w:fldCharType="end"/>
      </w:r>
      <w:r w:rsidR="002804A6">
        <w:rPr>
          <w:lang w:val="en-ID"/>
        </w:rPr>
        <w:t>.</w:t>
      </w:r>
    </w:p>
    <w:p w14:paraId="7EBDA361" w14:textId="29DCEE75" w:rsidR="00F75415" w:rsidRPr="00F75415" w:rsidRDefault="00F75415" w:rsidP="008412A7">
      <w:pPr>
        <w:ind w:firstLine="720"/>
        <w:jc w:val="both"/>
        <w:rPr>
          <w:lang w:val="en-ID"/>
        </w:rPr>
      </w:pPr>
      <w:r w:rsidRPr="00F75415">
        <w:rPr>
          <w:lang w:val="en-ID"/>
        </w:rPr>
        <w:t>Commons treatment goals are to fix the altered follicular keratinization pattern, reduce sebaceous gland activity, reduce C. acnes, and reduce inflammation</w:t>
      </w:r>
      <w:r w:rsidR="0024578F" w:rsidRPr="00F75415">
        <w:rPr>
          <w:lang w:val="en-ID"/>
        </w:rPr>
        <w:t>.</w:t>
      </w:r>
      <w:r w:rsidR="0024578F">
        <w:rPr>
          <w:lang w:val="en-ID"/>
        </w:rPr>
        <w:t xml:space="preserve"> </w:t>
      </w:r>
      <w:r w:rsidRPr="00F75415">
        <w:rPr>
          <w:lang w:val="en-ID"/>
        </w:rPr>
        <w:t>In summary, for acne treatment, topical treatments are recommended for mild acne, oral antibiotics are added in moderate acne, and oral isotretinoin is recommended for</w:t>
      </w:r>
      <w:r w:rsidR="008412A7">
        <w:rPr>
          <w:lang w:val="en-ID"/>
        </w:rPr>
        <w:t xml:space="preserve"> </w:t>
      </w:r>
      <w:r w:rsidRPr="00F75415">
        <w:rPr>
          <w:lang w:val="en-ID"/>
        </w:rPr>
        <w:t>treating severe acne</w:t>
      </w:r>
      <w:r w:rsidR="0024578F">
        <w:rPr>
          <w:lang w:val="en-ID"/>
        </w:rPr>
        <w:t xml:space="preserve"> </w:t>
      </w:r>
      <w:r w:rsidR="002804A6">
        <w:rPr>
          <w:lang w:val="en-ID"/>
        </w:rPr>
        <w:fldChar w:fldCharType="begin" w:fldLock="1"/>
      </w:r>
      <w:r w:rsidR="002804A6">
        <w:rPr>
          <w:lang w:val="en-ID"/>
        </w:rPr>
        <w:instrText>ADDIN CSL_CITATION {"citationItems":[{"id":"ITEM-1","itemData":{"ISBN":"0926-9959","author":[{"dropping-particle":"","family":"Nast","given":"A","non-dropping-particle":"","parse-names":false,"suffix":""},{"dropping-particle":"","family":"Dreno","given":"B","non-dropping-particle":"","parse-names":false,"suffix":""},{"dropping-particle":"","family":"Bettoli","given":"V","non-dropping-particle":"","parse-names":false,"suffix":""},{"dropping-particle":"","family":"Degitz","given":"K","non-dropping-particle":"","parse-names":false,"suffix":""},{"dropping-particle":"","family":"Erdmann","given":"R","non-dropping-particle":"","parse-names":false,"suffix":""},{"dropping-particle":"","family":"Finlay","given":"A Y","non-dropping-particle":"","parse-names":false,"suffix":""},{"dropping-particle":"","family":"Ganceviciene","given":"R","non-dropping-particle":"","parse-names":false,"suffix":""},{"dropping-particle":"","family":"Haedersdal","given":"M","non-dropping-particle":"","parse-names":false,"suffix":""},{"dropping-particle":"","family":"Layton","given":"A","non-dropping-particle":"","parse-names":false,"suffix":""},{"dropping-particle":"","family":"López‐Estebaranz","given":"J L","non-dropping-particle":"","parse-names":false,"suffix":""}],"container-title":"Journal of the European Academy of Dermatology and Venereology","id":"ITEM-1","issued":{"date-parts":[["2012"]]},"page":"1-29","publisher":"Blackwell Publishing Ltd Oxford, UK","title":"European evidence‐based (S3) guidelines for the treatment of acne","type":"article","volume":"26"},"uris":["http://www.mendeley.com/documents/?uuid=4aa6fbce-9dfa-46fd-9f14-0a3f0bb9125f"]}],"mendeley":{"formattedCitation":"(Nast et al., 2012)","plainTextFormattedCitation":"(Nast et al., 2012)","previouslyFormattedCitation":"(Nast et al., 2012)"},"properties":{"noteIndex":0},"schema":"https://github.com/citation-style-language/schema/raw/master/csl-citation.json"}</w:instrText>
      </w:r>
      <w:r w:rsidR="002804A6">
        <w:rPr>
          <w:lang w:val="en-ID"/>
        </w:rPr>
        <w:fldChar w:fldCharType="separate"/>
      </w:r>
      <w:r w:rsidR="002804A6" w:rsidRPr="002804A6">
        <w:rPr>
          <w:noProof/>
          <w:lang w:val="en-ID"/>
        </w:rPr>
        <w:t>(Nast et al., 2012)</w:t>
      </w:r>
      <w:r w:rsidR="002804A6">
        <w:rPr>
          <w:lang w:val="en-ID"/>
        </w:rPr>
        <w:fldChar w:fldCharType="end"/>
      </w:r>
      <w:r w:rsidRPr="00F75415">
        <w:rPr>
          <w:lang w:val="en-ID"/>
        </w:rPr>
        <w:t>. However, these medications have unwanted side-effects. For example, the adverse effects of topical treatments are erythema, dryness, stinging/burning, itching, and scaling. Additionally, oral antibiotics’ adverse effect might include anorexia, vomiting, hypersensitivity, hepatotoxicity, and rashes</w:t>
      </w:r>
      <w:r w:rsidR="0024578F">
        <w:rPr>
          <w:lang w:val="en-ID"/>
        </w:rPr>
        <w:t xml:space="preserve"> (Nast et al, 2016)</w:t>
      </w:r>
      <w:r w:rsidRPr="00F75415">
        <w:rPr>
          <w:lang w:val="en-ID"/>
        </w:rPr>
        <w:t>. For isotretinoin, the most prevalent side effects involve the mucocutaneous, musculoskeletal, and ophthalmic systems, generally mimicking symptoms of hypervitaminosis A. Also, isotretinoin intake may precipitate keloid formation and it has teratogenic effects. Efforts to develop new alternatives in acne vulgaris treatment have been made to reduce those side effects. One of them is through oral antihistamines.</w:t>
      </w:r>
    </w:p>
    <w:p w14:paraId="4C31B640" w14:textId="29D20F88" w:rsidR="00F75415" w:rsidRPr="00F75415" w:rsidRDefault="00F75415" w:rsidP="00F75415">
      <w:pPr>
        <w:ind w:firstLine="720"/>
        <w:jc w:val="both"/>
        <w:rPr>
          <w:lang w:val="en-ID"/>
        </w:rPr>
      </w:pPr>
      <w:r w:rsidRPr="00F75415">
        <w:rPr>
          <w:lang w:val="en-ID"/>
        </w:rPr>
        <w:t>According to their approved indications, antihistamines are prescribed to relieve allergy. An allergy is an immune response to exogenous substances (i.e., allergens). The immune response is usually oversensitive in patients with allergies. Histamine is released in response to allergen exposure and causes allergy symptom. Antihistamines are a class of drugs that act by preventing the effects of histamine, so they can relieve allergy symptoms such as nasal congestion, runny nose, itching, hives, and skin rashes</w:t>
      </w:r>
      <w:r w:rsidR="0024578F">
        <w:rPr>
          <w:lang w:val="en-ID"/>
        </w:rPr>
        <w:t xml:space="preserve"> (medlineplus.gov, 2020)</w:t>
      </w:r>
      <w:r w:rsidRPr="00F75415">
        <w:rPr>
          <w:lang w:val="en-ID"/>
        </w:rPr>
        <w:t>.</w:t>
      </w:r>
    </w:p>
    <w:p w14:paraId="485D141F" w14:textId="503AEC7A" w:rsidR="00F75415" w:rsidRPr="00C432CC" w:rsidRDefault="00F75415" w:rsidP="00C432CC">
      <w:pPr>
        <w:ind w:firstLine="720"/>
        <w:jc w:val="both"/>
        <w:rPr>
          <w:lang w:val="en-ID"/>
        </w:rPr>
      </w:pPr>
      <w:r w:rsidRPr="00F75415">
        <w:rPr>
          <w:lang w:val="en-ID"/>
        </w:rPr>
        <w:t>One of the most widely used antihistamines for allergies and other minor irritations is diphenhydramine (DPH), which prevents histamine receptor binding by acting as a receptor antagonist. DPH has specificity for H1 receptor. By examining the existence of H1 receptors and assessing the effect of DPH on cellular squalene levels, researchers investigated the responses of cultured sebocytes to antihistamines and found that antihistamine not only acts as an effective anti-inflammatory drug but also decreases lipogenesis in sebocytes</w:t>
      </w:r>
      <w:r w:rsidR="004E0DEC">
        <w:rPr>
          <w:lang w:val="en-ID"/>
        </w:rPr>
        <w:t xml:space="preserve"> (Pelle et al, 2008)</w:t>
      </w:r>
      <w:r w:rsidRPr="00F75415">
        <w:rPr>
          <w:lang w:val="en-ID"/>
        </w:rPr>
        <w:t>. These effects may have benefit in reducing the need for recommended medications in acne treatment and led to several randomized control trials (RCTs) studying the efficacy of antihistamines in patients with acne vulgaris</w:t>
      </w:r>
      <w:r w:rsidR="004E0DEC">
        <w:rPr>
          <w:lang w:val="en-ID"/>
        </w:rPr>
        <w:t xml:space="preserve"> </w:t>
      </w:r>
      <w:r w:rsidR="002804A6">
        <w:rPr>
          <w:lang w:val="en-ID"/>
        </w:rPr>
        <w:fldChar w:fldCharType="begin" w:fldLock="1"/>
      </w:r>
      <w:r w:rsidR="002804A6">
        <w:rPr>
          <w:lang w:val="en-ID"/>
        </w:rPr>
        <w:instrText>ADDIN CSL_CITATION {"citationItems":[{"id":"ITEM-1","itemData":{"ISSN":"0926-9959","author":[{"dropping-particle":"","family":"Lee","given":"Hae Eul","non-dropping-particle":"","parse-names":false,"suffix":""},{"dropping-particle":"","family":"Chang","given":"In Kyu","non-dropping-particle":"","parse-names":false,"suffix":""},{"dropping-particle":"","family":"Lee","given":"Young","non-dropping-particle":"","parse-names":false,"suffix":""},{"dropping-particle":"","family":"Kim","given":"Chang Deok","non-dropping-particle":"","parse-names":false,"suffix":""},{"dropping-particle":"","family":"Seo","given":"Young Joon","non-dropping-particle":"","parse-names":false,"suffix":""},{"dropping-particle":"","family":"Lee","given":"Jeung Hoon","non-dropping-particle":"","parse-names":false,"suffix":""},{"dropping-particle":"","family":"Im","given":"Myung","non-dropping-particle":"","parse-names":false,"suffix":""}],"container-title":"Journal of the European Academy of Dermatology and Venereology","id":"ITEM-1","issue":"12","issued":{"date-parts":[["2014"]]},"page":"1654-1660","publisher":"Wiley Online Library","title":"Effect of antihistamine as an adjuvant treatment of isotretinoin in acne: a randomized, controlled comparative study","type":"article-journal","volume":"28"},"uris":["http://www.mendeley.com/documents/?uuid=42b70b86-0af5-493c-92c3-ac28ecd08ad6"]}],"mendeley":{"formattedCitation":"(Lee et al., 2014)","plainTextFormattedCitation":"(Lee et al., 2014)","previouslyFormattedCitation":"(Lee et al., 2014)"},"properties":{"noteIndex":0},"schema":"https://github.com/citation-style-language/schema/raw/master/csl-citation.json"}</w:instrText>
      </w:r>
      <w:r w:rsidR="002804A6">
        <w:rPr>
          <w:lang w:val="en-ID"/>
        </w:rPr>
        <w:fldChar w:fldCharType="separate"/>
      </w:r>
      <w:r w:rsidR="002804A6" w:rsidRPr="002804A6">
        <w:rPr>
          <w:noProof/>
          <w:lang w:val="en-ID"/>
        </w:rPr>
        <w:t>(Lee et al., 2014)</w:t>
      </w:r>
      <w:r w:rsidR="002804A6">
        <w:rPr>
          <w:lang w:val="en-ID"/>
        </w:rPr>
        <w:fldChar w:fldCharType="end"/>
      </w:r>
      <w:r w:rsidR="002804A6">
        <w:rPr>
          <w:lang w:val="en-ID"/>
        </w:rPr>
        <w:t xml:space="preserve"> </w:t>
      </w:r>
      <w:r w:rsidR="002804A6">
        <w:rPr>
          <w:lang w:val="en-ID"/>
        </w:rPr>
        <w:fldChar w:fldCharType="begin" w:fldLock="1"/>
      </w:r>
      <w:r w:rsidR="002804A6">
        <w:rPr>
          <w:lang w:val="en-ID"/>
        </w:rPr>
        <w:instrText>ADDIN CSL_CITATION {"citationItems":[{"id":"ITEM-1","itemData":{"ISSN":"1687-1537","author":[{"dropping-particle":"","family":"Yosef","given":"Ayman","non-dropping-particle":"","parse-names":false,"suffix":""},{"dropping-particle":"","family":"Dawoud","given":"Noha M","non-dropping-particle":"","parse-names":false,"suffix":""},{"dropping-particle":"","family":"Gharib","given":"Khaled","non-dropping-particle":"","parse-names":false,"suffix":""}],"container-title":"Journal of the Egyptian Women's Dermatologic Society","id":"ITEM-1","issue":"1","issued":{"date-parts":[["2017"]]},"page":"49-55","publisher":"Wolters Kluwer","title":"Preliminary evaluation of the clinical efficacy of antihistamines as an adjuvant treatment to isotretinoin for acne vulgaris","type":"article-journal","volume":"14"},"uris":["http://www.mendeley.com/documents/?uuid=81b93453-f601-4078-81d5-fa610fdb579a"]}],"mendeley":{"formattedCitation":"(Yosef, Dawoud, &amp; Gharib, 2017)","plainTextFormattedCitation":"(Yosef, Dawoud, &amp; Gharib, 2017)","previouslyFormattedCitation":"(Yosef, Dawoud, &amp; Gharib, 2017)"},"properties":{"noteIndex":0},"schema":"https://github.com/citation-style-language/schema/raw/master/csl-citation.json"}</w:instrText>
      </w:r>
      <w:r w:rsidR="002804A6">
        <w:rPr>
          <w:lang w:val="en-ID"/>
        </w:rPr>
        <w:fldChar w:fldCharType="separate"/>
      </w:r>
      <w:r w:rsidR="002804A6" w:rsidRPr="002804A6">
        <w:rPr>
          <w:noProof/>
          <w:lang w:val="en-ID"/>
        </w:rPr>
        <w:t>(Yosef, Dawoud, &amp; Gharib, 2017)</w:t>
      </w:r>
      <w:r w:rsidR="002804A6">
        <w:rPr>
          <w:lang w:val="en-ID"/>
        </w:rPr>
        <w:fldChar w:fldCharType="end"/>
      </w:r>
      <w:r w:rsidR="004E0DEC">
        <w:rPr>
          <w:lang w:val="en-ID"/>
        </w:rPr>
        <w:t xml:space="preserve">; </w:t>
      </w:r>
      <w:r w:rsidR="002804A6">
        <w:rPr>
          <w:lang w:val="en-ID"/>
        </w:rPr>
        <w:fldChar w:fldCharType="begin" w:fldLock="1"/>
      </w:r>
      <w:r w:rsidR="002804A6">
        <w:rPr>
          <w:lang w:val="en-ID"/>
        </w:rPr>
        <w:instrText>ADDIN CSL_CITATION {"citationItems":[{"id":"ITEM-1","itemData":{"author":[{"dropping-particle":"","family":"Pandey","given":"D","non-dropping-particle":"","parse-names":false,"suffix":""},{"dropping-particle":"","family":"Agrawal","given":"S","non-dropping-particle":"","parse-names":false,"suffix":""}],"container-title":"Kathmandu Univ Med J","id":"ITEM-1","issue":"65","issued":{"date-parts":[["2019"]]},"page":"14-19","title":"Efficacy of isotretinoin and antihistamine versus isotretinoin alone in the treatment of moderate to severe acne: a randomised control trial","type":"article-journal","volume":"17"},"uris":["http://www.mendeley.com/documents/?uuid=9dfd85be-2b31-4e29-9b68-1078ec97c83a"]}],"mendeley":{"formattedCitation":"(Pandey &amp; Agrawal, 2019)","plainTextFormattedCitation":"(Pandey &amp; Agrawal, 2019)","previouslyFormattedCitation":"(Pandey &amp; Agrawal, 2019)"},"properties":{"noteIndex":0},"schema":"https://github.com/citation-style-language/schema/raw/master/csl-citation.json"}</w:instrText>
      </w:r>
      <w:r w:rsidR="002804A6">
        <w:rPr>
          <w:lang w:val="en-ID"/>
        </w:rPr>
        <w:fldChar w:fldCharType="separate"/>
      </w:r>
      <w:r w:rsidR="002804A6" w:rsidRPr="002804A6">
        <w:rPr>
          <w:noProof/>
          <w:lang w:val="en-ID"/>
        </w:rPr>
        <w:t>(Pandey &amp; Agrawal, 2019)</w:t>
      </w:r>
      <w:r w:rsidR="002804A6">
        <w:rPr>
          <w:lang w:val="en-ID"/>
        </w:rPr>
        <w:fldChar w:fldCharType="end"/>
      </w:r>
      <w:r w:rsidR="004E0DEC">
        <w:rPr>
          <w:lang w:val="en-ID"/>
        </w:rPr>
        <w:t xml:space="preserve">; </w:t>
      </w:r>
      <w:r w:rsidR="002804A6">
        <w:rPr>
          <w:lang w:val="en-ID"/>
        </w:rPr>
        <w:fldChar w:fldCharType="begin" w:fldLock="1"/>
      </w:r>
      <w:r w:rsidR="002804A6">
        <w:rPr>
          <w:lang w:val="en-ID"/>
        </w:rPr>
        <w:instrText>ADDIN CSL_CITATION {"citationItems":[{"id":"ITEM-1","itemData":{"author":[{"dropping-particle":"","family":"Van","given":"Thuong Nguyen","non-dropping-particle":"","parse-names":false,"suffix":""},{"dropping-particle":"","family":"Thi","given":"Lan Duong","non-dropping-particle":"","parse-names":false,"suffix":""},{"dropping-particle":"","family":"Trong","given":"Hao Nguyen","non-dropping-particle":"","parse-names":false,"suffix":""},{"dropping-particle":"","family":"Van","given":"Tro Chau","non-dropping-particle":"","parse-names":false,"suffix":""},{"dropping-particle":"","family":"Minh","given":"Trang Trinh","non-dropping-particle":"","parse-names":false,"suffix":""},{"dropping-particle":"","family":"Minh","given":"Phuong Pham Thi","non-dropping-particle":"","parse-names":false,"suffix":""},{"dropping-particle":"","family":"Huu","given":"Nghi Dinh","non-dropping-particle":"","parse-names":false,"suffix":""},{"dropping-particle":"","family":"Huyen","given":"My","non-dropping-particle":"Le","parse-names":false,"suffix":""},{"dropping-particle":"","family":"Hau","given":"Khang Tran","non-dropping-particle":"","parse-names":false,"suffix":""},{"dropping-particle":"","family":"Gandolfi","given":"Marco","non-dropping-particle":"","parse-names":false,"suffix":""}],"container-title":"Open Access Macedonian Journal of Medical Sciences","id":"ITEM-1","issue":"2","issued":{"date-parts":[["2019"]]},"page":"217","publisher":"Scientific Foundation SPIROSKI","title":"Efficacy of oral isotretinoin in combination with desloratadine in the treatment of common vulgaris acne in vietnamese patients","type":"article-journal","volume":"7"},"uris":["http://www.mendeley.com/documents/?uuid=020f747c-18da-410e-ab16-009b6e0e8660"]}],"mendeley":{"formattedCitation":"(Van et al., 2019)","plainTextFormattedCitation":"(Van et al., 2019)","previouslyFormattedCitation":"(Van et al., 2019)"},"properties":{"noteIndex":0},"schema":"https://github.com/citation-style-language/schema/raw/master/csl-citation.json"}</w:instrText>
      </w:r>
      <w:r w:rsidR="002804A6">
        <w:rPr>
          <w:lang w:val="en-ID"/>
        </w:rPr>
        <w:fldChar w:fldCharType="separate"/>
      </w:r>
      <w:r w:rsidR="002804A6" w:rsidRPr="002804A6">
        <w:rPr>
          <w:noProof/>
          <w:lang w:val="en-ID"/>
        </w:rPr>
        <w:t>(Van et al., 2019)</w:t>
      </w:r>
      <w:r w:rsidR="002804A6">
        <w:rPr>
          <w:lang w:val="en-ID"/>
        </w:rPr>
        <w:fldChar w:fldCharType="end"/>
      </w:r>
      <w:r w:rsidR="002804A6">
        <w:rPr>
          <w:lang w:val="en-ID"/>
        </w:rPr>
        <w:t>.</w:t>
      </w:r>
    </w:p>
    <w:p w14:paraId="43B87BBA" w14:textId="301E4C54" w:rsidR="00F75415" w:rsidRPr="00F75415" w:rsidRDefault="00F75415" w:rsidP="008412A7">
      <w:pPr>
        <w:ind w:firstLine="720"/>
        <w:jc w:val="both"/>
        <w:rPr>
          <w:lang w:val="en-ID"/>
        </w:rPr>
      </w:pPr>
      <w:r w:rsidRPr="00F75415">
        <w:rPr>
          <w:lang w:val="en-ID"/>
        </w:rPr>
        <w:t>There have been 39 systematic reviews on standard treatment of acne vulgaris that covered various acne treatments such as minocycline, topical retinoids, topical azelaic acid, combined oral contraceptive pills, blue-light therapy,</w:t>
      </w:r>
      <w:r w:rsidR="008412A7">
        <w:rPr>
          <w:lang w:val="en-ID"/>
        </w:rPr>
        <w:t xml:space="preserve"> </w:t>
      </w:r>
      <w:r w:rsidRPr="00F75415">
        <w:rPr>
          <w:lang w:val="en-ID"/>
        </w:rPr>
        <w:t>spironolactone, tetracycline, benzoyl peroxide, isotretinoin, and antihistamines, the last two of which is relevant with our research question. In 2018, a systematic review regarding isotretinoin as a treatment for acne vulgaris was published. The review authors did not find any clear evidence from the trials that isotretinoin improved acne severity compared with standard oral antibiotics and topical treatment when assessed by a decrease in total inflammatory lesion count. In addition, isotretinoin may result in increased minor adverse effects</w:t>
      </w:r>
      <w:r w:rsidR="004E0DEC">
        <w:rPr>
          <w:lang w:val="en-ID"/>
        </w:rPr>
        <w:t xml:space="preserve"> </w:t>
      </w:r>
      <w:r w:rsidR="002804A6">
        <w:rPr>
          <w:lang w:val="en-ID"/>
        </w:rPr>
        <w:fldChar w:fldCharType="begin" w:fldLock="1"/>
      </w:r>
      <w:r w:rsidR="002804A6">
        <w:rPr>
          <w:lang w:val="en-ID"/>
        </w:rPr>
        <w:instrText>ADDIN CSL_CITATION {"citationItems":[{"id":"ITEM-1","itemData":{"ISSN":"1465-1858","author":[{"dropping-particle":"","family":"Costa","given":"Caroline S","non-dropping-particle":"","parse-names":false,"suffix":""},{"dropping-particle":"","family":"Bagatin","given":"Ediléia","non-dropping-particle":"","parse-names":false,"suffix":""},{"dropping-particle":"","family":"Martimbianco","given":"Ana Luiza C","non-dropping-particle":"","parse-names":false,"suffix":""},{"dropping-particle":"","family":"Silva","given":"Edina M K","non-dropping-particle":"da","parse-names":false,"suffix":""},{"dropping-particle":"","family":"Lúcio","given":"Marília M","non-dropping-particle":"","parse-names":false,"suffix":""},{"dropping-particle":"","family":"Magin","given":"Parker","non-dropping-particle":"","parse-names":false,"suffix":""},{"dropping-particle":"","family":"Riera","given":"Rachel","non-dropping-particle":"","parse-names":false,"suffix":""}],"container-title":"Cochrane Database of Systematic Reviews","id":"ITEM-1","issue":"11","issued":{"date-parts":[["2018"]]},"publisher":"John Wiley &amp; Sons, Ltd","title":"Oral isotretinoin for acne","type":"article-journal"},"uris":["http://www.mendeley.com/documents/?uuid=29d4ce3d-3c09-4a06-9cec-1d16759f5f00"]}],"mendeley":{"formattedCitation":"(Costa et al., 2018)","plainTextFormattedCitation":"(Costa et al., 2018)","previouslyFormattedCitation":"(Costa et al., 2018)"},"properties":{"noteIndex":0},"schema":"https://github.com/citation-style-language/schema/raw/master/csl-citation.json"}</w:instrText>
      </w:r>
      <w:r w:rsidR="002804A6">
        <w:rPr>
          <w:lang w:val="en-ID"/>
        </w:rPr>
        <w:fldChar w:fldCharType="separate"/>
      </w:r>
      <w:r w:rsidR="002804A6" w:rsidRPr="002804A6">
        <w:rPr>
          <w:noProof/>
          <w:lang w:val="en-ID"/>
        </w:rPr>
        <w:t>(Costa et al., 2018)</w:t>
      </w:r>
      <w:r w:rsidR="002804A6">
        <w:rPr>
          <w:lang w:val="en-ID"/>
        </w:rPr>
        <w:fldChar w:fldCharType="end"/>
      </w:r>
      <w:r w:rsidRPr="00F75415">
        <w:rPr>
          <w:lang w:val="en-ID"/>
        </w:rPr>
        <w:t xml:space="preserve">. Another systematic review without meta-analysis by </w:t>
      </w:r>
      <w:r w:rsidR="002804A6">
        <w:rPr>
          <w:lang w:val="en-ID"/>
        </w:rPr>
        <w:fldChar w:fldCharType="begin" w:fldLock="1"/>
      </w:r>
      <w:r w:rsidR="002804A6">
        <w:rPr>
          <w:lang w:val="en-ID"/>
        </w:rPr>
        <w:instrText>ADDIN CSL_CITATION {"citationItems":[{"id":"ITEM-1","itemData":{"author":[{"dropping-particle":"","family":"Wang","given":"Lorraine","non-dropping-particle":"","parse-names":false,"suffix":""}],"container-title":"School of Physician Assistant Studies","id":"ITEM-1","issued":{"date-parts":[["2015"]]},"title":"Antihistamine: A Useful Medication with Minimal Adverse Drug Reactions to Improve Acne Symptoms and Reduce Sebum Production","type":"article-journal","volume":"508"},"uris":["http://www.mendeley.com/documents/?uuid=e83a2017-ec62-4a0d-ade0-c6050e4f7467"]}],"mendeley":{"formattedCitation":"(Wang, 2015)","plainTextFormattedCitation":"(Wang, 2015)","previouslyFormattedCitation":"(Wang, 2015)"},"properties":{"noteIndex":0},"schema":"https://github.com/citation-style-language/schema/raw/master/csl-citation.json"}</w:instrText>
      </w:r>
      <w:r w:rsidR="002804A6">
        <w:rPr>
          <w:lang w:val="en-ID"/>
        </w:rPr>
        <w:fldChar w:fldCharType="separate"/>
      </w:r>
      <w:r w:rsidR="002804A6" w:rsidRPr="002804A6">
        <w:rPr>
          <w:noProof/>
          <w:lang w:val="en-ID"/>
        </w:rPr>
        <w:t>(Wang, 2015)</w:t>
      </w:r>
      <w:r w:rsidR="002804A6">
        <w:rPr>
          <w:lang w:val="en-ID"/>
        </w:rPr>
        <w:fldChar w:fldCharType="end"/>
      </w:r>
      <w:r w:rsidR="002804A6">
        <w:rPr>
          <w:lang w:val="en-ID"/>
        </w:rPr>
        <w:t xml:space="preserve"> </w:t>
      </w:r>
      <w:r w:rsidRPr="00F75415">
        <w:rPr>
          <w:lang w:val="en-ID"/>
        </w:rPr>
        <w:t>included one in-vitro study</w:t>
      </w:r>
      <w:r w:rsidR="004E0DEC">
        <w:rPr>
          <w:lang w:val="en-ID"/>
        </w:rPr>
        <w:t xml:space="preserve"> </w:t>
      </w:r>
      <w:r w:rsidR="002804A6">
        <w:rPr>
          <w:lang w:val="en-ID"/>
        </w:rPr>
        <w:fldChar w:fldCharType="begin" w:fldLock="1"/>
      </w:r>
      <w:r w:rsidR="002804A6">
        <w:rPr>
          <w:lang w:val="en-ID"/>
        </w:rPr>
        <w:instrText>ADDIN CSL_CITATION {"citationItems":[{"id":"ITEM-1","itemData":{"ISSN":"0022-202X","author":[{"dropping-particle":"","family":"Pelle","given":"Edward","non-dropping-particle":"","parse-names":false,"suffix":""},{"dropping-particle":"","family":"McCarthy","given":"James","non-dropping-particle":"","parse-names":false,"suffix":""},{"dropping-particle":"","family":"Seltmann","given":"Holger","non-dropping-particle":"","parse-names":false,"suffix":""},{"dropping-particle":"","family":"Huang","given":"Xi","non-dropping-particle":"","parse-names":false,"suffix":""},{"dropping-particle":"","family":"Mammone","given":"Thomas","non-dropping-particle":"","parse-names":false,"suffix":""},{"dropping-particle":"","family":"Zouboulis","given":"Christos C","non-dropping-particle":"","parse-names":false,"suffix":""},{"dropping-particle":"","family":"Maes","given":"Daniel","non-dropping-particle":"","parse-names":false,"suffix":""}],"container-title":"Journal of Investigative Dermatology","id":"ITEM-1","issue":"5","issued":{"date-parts":[["2008"]]},"page":"1280-1285","publisher":"Elsevier","title":"Identification of histamine receptors and reduction of squalene levels by an antihistamine in sebocytes","type":"article-journal","volume":"128"},"uris":["http://www.mendeley.com/documents/?uuid=3f9465f9-d71e-4936-89f5-3318d56db299"]}],"mendeley":{"formattedCitation":"(Pelle et al., 2008)","plainTextFormattedCitation":"(Pelle et al., 2008)","previouslyFormattedCitation":"(Pelle et al., 2008)"},"properties":{"noteIndex":0},"schema":"https://github.com/citation-style-language/schema/raw/master/csl-citation.json"}</w:instrText>
      </w:r>
      <w:r w:rsidR="002804A6">
        <w:rPr>
          <w:lang w:val="en-ID"/>
        </w:rPr>
        <w:fldChar w:fldCharType="separate"/>
      </w:r>
      <w:r w:rsidR="002804A6" w:rsidRPr="002804A6">
        <w:rPr>
          <w:noProof/>
          <w:lang w:val="en-ID"/>
        </w:rPr>
        <w:t>(Pelle et al., 2008)</w:t>
      </w:r>
      <w:r w:rsidR="002804A6">
        <w:rPr>
          <w:lang w:val="en-ID"/>
        </w:rPr>
        <w:fldChar w:fldCharType="end"/>
      </w:r>
      <w:r w:rsidRPr="00F75415">
        <w:rPr>
          <w:lang w:val="en-ID"/>
        </w:rPr>
        <w:t xml:space="preserve"> and one RCT study</w:t>
      </w:r>
      <w:r w:rsidR="002804A6">
        <w:rPr>
          <w:lang w:val="en-ID"/>
        </w:rPr>
        <w:t xml:space="preserve"> </w:t>
      </w:r>
      <w:r w:rsidR="002804A6">
        <w:rPr>
          <w:lang w:val="en-ID"/>
        </w:rPr>
        <w:fldChar w:fldCharType="begin" w:fldLock="1"/>
      </w:r>
      <w:r w:rsidR="002804A6">
        <w:rPr>
          <w:lang w:val="en-ID"/>
        </w:rPr>
        <w:instrText>ADDIN CSL_CITATION {"citationItems":[{"id":"ITEM-1","itemData":{"DOI":"http://doi. org/10. 1016/j. chb. 2010. 07. 028, 2011","author":[{"dropping-particle":"","family":"Cheung, C. M. K., Chiu, P. -Y., &amp; Lee","given":"M. K. O","non-dropping-particle":"","parse-names":false,"suffix":""}],"container-title":"Computers in Human Behavior","id":"ITEM-1","issued":{"date-parts":[["2011"]]},"page":"1337–1343","title":"Online social networks: Why do students use facebook?","type":"article-journal","volume":"27"},"uris":["http://www.mendeley.com/documents/?uuid=27970ba5-f9e8-4d2e-a80f-9e58539568cf"]}],"mendeley":{"formattedCitation":"(Cheung, C. M. K., Chiu, P. -Y., &amp; Lee, 2011)","plainTextFormattedCitation":"(Cheung, C. M. K., Chiu, P. -Y., &amp; Lee, 2011)","previouslyFormattedCitation":"(Cheung, C. M. K., Chiu, P. -Y., &amp; Lee, 2011)"},"properties":{"noteIndex":0},"schema":"https://github.com/citation-style-language/schema/raw/master/csl-citation.json"}</w:instrText>
      </w:r>
      <w:r w:rsidR="002804A6">
        <w:rPr>
          <w:lang w:val="en-ID"/>
        </w:rPr>
        <w:fldChar w:fldCharType="separate"/>
      </w:r>
      <w:r w:rsidR="002804A6" w:rsidRPr="002804A6">
        <w:rPr>
          <w:noProof/>
          <w:lang w:val="en-ID"/>
        </w:rPr>
        <w:t>(Cheung, C. M. K., Chiu, P. -Y., &amp; Lee, 2011)</w:t>
      </w:r>
      <w:r w:rsidR="002804A6">
        <w:rPr>
          <w:lang w:val="en-ID"/>
        </w:rPr>
        <w:fldChar w:fldCharType="end"/>
      </w:r>
      <w:r w:rsidR="002804A6">
        <w:rPr>
          <w:lang w:val="en-ID"/>
        </w:rPr>
        <w:t xml:space="preserve"> </w:t>
      </w:r>
      <w:r w:rsidRPr="00F75415">
        <w:rPr>
          <w:lang w:val="en-ID"/>
        </w:rPr>
        <w:t>and stated that antihistamine had potential to treat acne It was conducted in 2015 by an exhaustive search using MEDLINE-Ovid, CINAHL, UptoDate, Web of Science, Google Scholar, MEDLINE-PubMed, ClinicalKey, and ProQuest with keywords: acne vulgaris and antihistamine. The studies were selected if they were done on humans or human tissues, evaluated the effects of antihistamines on sebum production, and were published it in English from 2008 onwards. Data pooling by meta-analysis was not performed.</w:t>
      </w:r>
    </w:p>
    <w:p w14:paraId="176F5CA6" w14:textId="77777777" w:rsidR="00F75415" w:rsidRPr="00F75415" w:rsidRDefault="00F75415" w:rsidP="00F75415">
      <w:pPr>
        <w:ind w:firstLine="720"/>
        <w:jc w:val="both"/>
        <w:rPr>
          <w:lang w:val="en-ID"/>
        </w:rPr>
      </w:pPr>
      <w:r w:rsidRPr="00F75415">
        <w:rPr>
          <w:lang w:val="en-ID"/>
        </w:rPr>
        <w:t>There were also several previous RCTs showed the efficacy in acne vulgaris treatment using H1 antihistamines combined with isotretinoin (e.g., desloratadine + isotretinoin and levocetirizine + isotretinoin) compared to an active treatment (e.g., isotretinoin).</w:t>
      </w:r>
    </w:p>
    <w:p w14:paraId="48A16637" w14:textId="26420A1F" w:rsidR="00E66ABF" w:rsidRDefault="00F75415" w:rsidP="00F75415">
      <w:pPr>
        <w:ind w:firstLine="720"/>
        <w:jc w:val="both"/>
      </w:pPr>
      <w:r w:rsidRPr="00F75415">
        <w:rPr>
          <w:lang w:val="en-ID"/>
        </w:rPr>
        <w:t>Existing evidence for antihistamines in the treatment of acne from previous systematic reviews remains unclear that there is uncertainty over their overall and comparative treatment effects in acne vulgaris with regard to both efficacy and safety. Additionally, the newer RCTs were not included and there was only one antihistamine included. Due for that reason, we conducted a systematic review and applied network meta-analysis (NMA) because there is more than one type of antihistamines used for this purpose and we want to show which one is the best.</w:t>
      </w:r>
    </w:p>
    <w:p w14:paraId="7B78C3A5" w14:textId="77777777" w:rsidR="00E66ABF" w:rsidRDefault="00E66ABF" w:rsidP="00E66ABF">
      <w:pPr>
        <w:ind w:firstLine="720"/>
        <w:jc w:val="both"/>
      </w:pPr>
    </w:p>
    <w:p w14:paraId="7353FF54" w14:textId="77777777" w:rsidR="00DA43A7" w:rsidRDefault="00000000">
      <w:pPr>
        <w:pBdr>
          <w:top w:val="nil"/>
          <w:left w:val="nil"/>
          <w:bottom w:val="nil"/>
          <w:right w:val="nil"/>
          <w:between w:val="nil"/>
        </w:pBdr>
        <w:spacing w:line="276" w:lineRule="auto"/>
        <w:jc w:val="both"/>
        <w:rPr>
          <w:color w:val="000000"/>
          <w:sz w:val="28"/>
          <w:szCs w:val="28"/>
        </w:rPr>
      </w:pPr>
      <w:r>
        <w:rPr>
          <w:b/>
          <w:color w:val="000000"/>
          <w:sz w:val="28"/>
          <w:szCs w:val="28"/>
        </w:rPr>
        <w:t>Research Methods</w:t>
      </w:r>
      <w:r>
        <w:rPr>
          <w:color w:val="000000"/>
          <w:sz w:val="28"/>
          <w:szCs w:val="28"/>
        </w:rPr>
        <w:t xml:space="preserve"> </w:t>
      </w:r>
    </w:p>
    <w:p w14:paraId="58CD32B5" w14:textId="77777777" w:rsidR="00F75415" w:rsidRPr="00F75415" w:rsidRDefault="00F75415" w:rsidP="00F75415">
      <w:pPr>
        <w:jc w:val="both"/>
        <w:rPr>
          <w:b/>
          <w:bCs/>
        </w:rPr>
      </w:pPr>
      <w:r w:rsidRPr="00F75415">
        <w:rPr>
          <w:b/>
          <w:bCs/>
        </w:rPr>
        <w:t>Search strategy</w:t>
      </w:r>
    </w:p>
    <w:p w14:paraId="531F2C0F" w14:textId="38401251" w:rsidR="00F75415" w:rsidRDefault="001C32F4" w:rsidP="00F75415">
      <w:pPr>
        <w:ind w:firstLine="720"/>
        <w:jc w:val="both"/>
      </w:pPr>
      <w:r>
        <w:t xml:space="preserve">We performed a literature search on electronic databases. The search strategy was designed to retrieve all available RCTs of antihistamines used in acne vulgaris patients published in the literature. PubMed, Scopus, Embase, Cochrane Central Register of Controlled Clinical Trials (CENTRAL), and Google Scholar databases were searched. The search terms applied to all databases </w:t>
      </w:r>
      <w:r w:rsidR="00537177">
        <w:t>were developed in the Patient, Intervention, Comparator, and Outcome (PICO) format</w:t>
      </w:r>
      <w:r w:rsidR="00F75415">
        <w:t>.</w:t>
      </w:r>
      <w:r w:rsidR="00537177">
        <w:t xml:space="preserve"> The search terms “acne” and all possible H1-antihistamines were used in the patient and intervention domains, respectively, but those for the comparator and outcome domains were omitted to increases the sensitivity of the searches. The search within each domain were combined with the Boolean operator “OR” and thoses between the domains with the Boolean operator “AND”. </w:t>
      </w:r>
      <w:r w:rsidR="00F75415">
        <w:t>The final search was done on November 1, 2020.</w:t>
      </w:r>
    </w:p>
    <w:p w14:paraId="62324607" w14:textId="20407BAA" w:rsidR="00C96C35" w:rsidRDefault="00C96C35" w:rsidP="00C96C35">
      <w:pPr>
        <w:jc w:val="both"/>
        <w:rPr>
          <w:b/>
          <w:bCs/>
        </w:rPr>
      </w:pPr>
      <w:r w:rsidRPr="00C96C35">
        <w:rPr>
          <w:b/>
          <w:bCs/>
        </w:rPr>
        <w:t xml:space="preserve">Inclusion and exclusion </w:t>
      </w:r>
    </w:p>
    <w:p w14:paraId="75BF190B" w14:textId="6A93DCBE" w:rsidR="00C96C35" w:rsidRDefault="00C96C35" w:rsidP="002804A6">
      <w:pPr>
        <w:ind w:firstLine="567"/>
        <w:jc w:val="both"/>
      </w:pPr>
      <w:r>
        <w:t xml:space="preserve">We include randomized controlled trial studies, the study </w:t>
      </w:r>
      <w:r w:rsidRPr="00C96C35">
        <w:t>in adolescent or adult patients diagnosed with acne vulgaris by any diagnostic method</w:t>
      </w:r>
      <w:r>
        <w:t xml:space="preserve">, and study comparing in adolescent or adult patients diagnosed with acne vulgaris by any diagnostic method other medications to placebo, or no treatment, or other active treatments, and studies which had at least one of the following outcomes: non-inflammatory lesion (comedones), inflammatory lesion (papules, pustules, and nodules), acne severity score, patient satisfaction, adverse events, and acne flare. We exclude study  </w:t>
      </w:r>
      <w:r w:rsidRPr="00C96C35">
        <w:t>with insufficient data for pooling after 3 attempts of contacting the author every 2 weeks</w:t>
      </w:r>
      <w:r>
        <w:t xml:space="preserve"> and </w:t>
      </w:r>
      <w:r w:rsidRPr="00C96C35">
        <w:t>published in languages which the reviewers could not translate</w:t>
      </w:r>
      <w:r>
        <w:t xml:space="preserve">. Full articles were reviewed if a decision could not be made based on the abstracts. Screening of title and abstract were done by two reviewers (D.S.F.) and (K.T). Full text review were done by </w:t>
      </w:r>
      <w:r w:rsidR="001C32F4">
        <w:t xml:space="preserve">two </w:t>
      </w:r>
      <w:r>
        <w:t>reviewer</w:t>
      </w:r>
      <w:r w:rsidR="001C32F4">
        <w:t>s</w:t>
      </w:r>
      <w:r>
        <w:t xml:space="preserve"> </w:t>
      </w:r>
      <w:r w:rsidR="001C32F4">
        <w:t xml:space="preserve">(D.S.F.) and (K.T) </w:t>
      </w:r>
      <w:r>
        <w:t>for relevant articles</w:t>
      </w:r>
      <w:r w:rsidR="001C32F4">
        <w:t>.</w:t>
      </w:r>
      <w:r w:rsidR="006838CC">
        <w:t xml:space="preserve"> Full articles were reviewed if a decision could not be made based on the abstracts. The revised Cochrane Risk-of-bias tool for Randomized Trials (RoB 2.0) was used to assess the risk of bias of selected studies </w:t>
      </w:r>
      <w:r w:rsidR="002804A6">
        <w:fldChar w:fldCharType="begin" w:fldLock="1"/>
      </w:r>
      <w:r w:rsidR="002804A6">
        <w:instrText>ADDIN CSL_CITATION {"citationItems":[{"id":"ITEM-1","itemData":{"ISSN":"0959-8138","author":[{"dropping-particle":"","family":"Sterne","given":"Jonathan A C","non-dropping-particle":"","parse-names":false,"suffix":""},{"dropping-particle":"","family":"Savović","given":"Jelena","non-dropping-particle":"","parse-names":false,"suffix":""},{"dropping-particle":"","family":"Page","given":"Matthew J","non-dropping-particle":"","parse-names":false,"suffix":""},{"dropping-particle":"","family":"Elbers","given":"Roy G","non-dropping-particle":"","parse-names":false,"suffix":""},{"dropping-particle":"","family":"Blencowe","given":"Natalie S","non-dropping-particle":"","parse-names":false,"suffix":""},{"dropping-particle":"","family":"Boutron","given":"Isabelle","non-dropping-particle":"","parse-names":false,"suffix":""},{"dropping-particle":"","family":"Cates","given":"Christopher J","non-dropping-particle":"","parse-names":false,"suffix":""},{"dropping-particle":"","family":"Cheng","given":"Hung-Yuan","non-dropping-particle":"","parse-names":false,"suffix":""},{"dropping-particle":"","family":"Corbett","given":"Mark S","non-dropping-particle":"","parse-names":false,"suffix":""},{"dropping-particle":"","family":"Eldridge","given":"Sandra M","non-dropping-particle":"","parse-names":false,"suffix":""}],"container-title":"bmj","id":"ITEM-1","issued":{"date-parts":[["2019"]]},"publisher":"British Medical Journal Publishing Group","title":"RoB 2: a revised tool for assessing risk of bias in randomised trials","type":"article-journal","volume":"366"},"uris":["http://www.mendeley.com/documents/?uuid=03fe1d46-403d-422d-90ef-86a58073838b"]}],"mendeley":{"formattedCitation":"(Sterne et al., 2019)","plainTextFormattedCitation":"(Sterne et al., 2019)","previouslyFormattedCitation":"(Sterne et al., 2019)"},"properties":{"noteIndex":0},"schema":"https://github.com/citation-style-language/schema/raw/master/csl-citation.json"}</w:instrText>
      </w:r>
      <w:r w:rsidR="002804A6">
        <w:fldChar w:fldCharType="separate"/>
      </w:r>
      <w:r w:rsidR="002804A6" w:rsidRPr="002804A6">
        <w:rPr>
          <w:noProof/>
        </w:rPr>
        <w:t>(Sterne et al., 2019)</w:t>
      </w:r>
      <w:r w:rsidR="002804A6">
        <w:fldChar w:fldCharType="end"/>
      </w:r>
      <w:r w:rsidR="006838CC">
        <w:t>.</w:t>
      </w:r>
    </w:p>
    <w:p w14:paraId="069FC8FF" w14:textId="6328AB4F" w:rsidR="00AA2330" w:rsidRDefault="00AA2330" w:rsidP="00C96C35">
      <w:pPr>
        <w:jc w:val="both"/>
        <w:rPr>
          <w:b/>
          <w:bCs/>
        </w:rPr>
      </w:pPr>
      <w:r w:rsidRPr="00AA2330">
        <w:rPr>
          <w:b/>
          <w:bCs/>
        </w:rPr>
        <w:t>Statistical Analysis</w:t>
      </w:r>
    </w:p>
    <w:p w14:paraId="14DF5041" w14:textId="4ADF1D9E" w:rsidR="00AA2330" w:rsidRPr="0048131F" w:rsidRDefault="0048131F" w:rsidP="002804A6">
      <w:pPr>
        <w:ind w:firstLine="567"/>
        <w:jc w:val="both"/>
      </w:pPr>
      <w:r>
        <w:t>Meta-analysis was performed on the pairs of interventions with at least 2 studies. The risk ratios (RR) for each outcome were pooled using a fixed-effect model by inverse variance method if the heterogeneity was low (i.e., p-value of Cochrane Q test &gt; 0.1 and I</w:t>
      </w:r>
      <w:r>
        <w:rPr>
          <w:vertAlign w:val="superscript"/>
        </w:rPr>
        <w:t>2</w:t>
      </w:r>
      <w:r>
        <w:t xml:space="preserve"> &lt; 25%). Otherwise, a random-effects model by the DerSimonian and Laird method was applied </w:t>
      </w:r>
      <w:r w:rsidR="002804A6">
        <w:fldChar w:fldCharType="begin" w:fldLock="1"/>
      </w:r>
      <w:r w:rsidR="002804A6">
        <w:instrText>ADDIN CSL_CITATION {"citationItems":[{"id":"ITEM-1","itemData":{"ISSN":"2045-2322","author":[{"dropping-particle":"","family":"Yoopetch","given":"Panida","non-dropping-particle":"","parse-names":false,"suffix":""},{"dropping-particle":"","family":"Anothaisintawee","given":"Thunyarat","non-dropping-particle":"","parse-names":false,"suffix":""},{"dropping-particle":"","family":"Gunasekara","given":"Agampodi Danushi M","non-dropping-particle":"","parse-names":false,"suffix":""},{"dropping-particle":"","family":"Jittikoon","given":"Jiraphun","non-dropping-particle":"","parse-names":false,"suffix":""},{"dropping-particle":"","family":"Udomsinprasert","given":"Wanvisa","non-dropping-particle":"","parse-names":false,"suffix":""},{"dropping-particle":"","family":"Thavorncharoensap","given":"Montarat","non-dropping-particle":"","parse-names":false,"suffix":""},{"dropping-particle":"","family":"Youngkong","given":"Sitaporn","non-dropping-particle":"","parse-names":false,"suffix":""},{"dropping-particle":"","family":"Thakkinstian","given":"Ammarin","non-dropping-particle":"","parse-names":false,"suffix":""},{"dropping-particle":"","family":"Chaikledkaew","given":"Usa","non-dropping-particle":"","parse-names":false,"suffix":""}],"container-title":"Scientific Reports","id":"ITEM-1","issue":"1","issued":{"date-parts":[["2023"]]},"page":"16240","publisher":"Nature Publishing Group UK London","title":"Efficacy of anti-tuberculosis drugs for the treatment of latent tuberculosis infection: a systematic review and network meta-analysis","type":"article-journal","volume":"13"},"uris":["http://www.mendeley.com/documents/?uuid=a72c3490-e45e-4f8d-a95d-8c1df878d88b"]}],"mendeley":{"formattedCitation":"(Yoopetch et al., 2023)","plainTextFormattedCitation":"(Yoopetch et al., 2023)","previouslyFormattedCitation":"(Yoopetch et al., 2023)"},"properties":{"noteIndex":0},"schema":"https://github.com/citation-style-language/schema/raw/master/csl-citation.json"}</w:instrText>
      </w:r>
      <w:r w:rsidR="002804A6">
        <w:fldChar w:fldCharType="separate"/>
      </w:r>
      <w:r w:rsidR="002804A6" w:rsidRPr="002804A6">
        <w:rPr>
          <w:noProof/>
        </w:rPr>
        <w:t>(Yoopetch et al., 2023)</w:t>
      </w:r>
      <w:r w:rsidR="002804A6">
        <w:fldChar w:fldCharType="end"/>
      </w:r>
      <w:r>
        <w:t>. All of the analyses were performed using Stata version 16.1 (StataCorp. 2019. Stata Statistical software: Release 16. College Station, TX; StataCorp LLC).</w:t>
      </w:r>
    </w:p>
    <w:p w14:paraId="560050BC" w14:textId="6E29FBC7" w:rsidR="00537177" w:rsidRPr="006838CC" w:rsidRDefault="00537177" w:rsidP="00C96C35">
      <w:pPr>
        <w:jc w:val="both"/>
        <w:rPr>
          <w:b/>
          <w:bCs/>
        </w:rPr>
      </w:pPr>
    </w:p>
    <w:p w14:paraId="5AF68DDB" w14:textId="5CE8CF39" w:rsidR="00763E27" w:rsidRPr="000B01C0" w:rsidRDefault="00000000" w:rsidP="000B01C0">
      <w:pPr>
        <w:pBdr>
          <w:top w:val="nil"/>
          <w:left w:val="nil"/>
          <w:bottom w:val="nil"/>
          <w:right w:val="nil"/>
          <w:between w:val="nil"/>
        </w:pBdr>
        <w:spacing w:line="276" w:lineRule="auto"/>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581858B6" w14:textId="77777777" w:rsidR="008412A7" w:rsidRPr="002804A6" w:rsidRDefault="008412A7" w:rsidP="002804A6">
      <w:pPr>
        <w:widowControl w:val="0"/>
        <w:pBdr>
          <w:top w:val="nil"/>
          <w:left w:val="nil"/>
          <w:bottom w:val="nil"/>
          <w:right w:val="nil"/>
          <w:between w:val="nil"/>
        </w:pBdr>
        <w:ind w:right="11"/>
        <w:jc w:val="both"/>
        <w:rPr>
          <w:b/>
          <w:bCs/>
          <w:color w:val="000000" w:themeColor="text1"/>
          <w:lang w:val="sv-SE"/>
        </w:rPr>
      </w:pPr>
      <w:r w:rsidRPr="002804A6">
        <w:rPr>
          <w:b/>
          <w:bCs/>
          <w:color w:val="000000" w:themeColor="text1"/>
          <w:lang w:val="sv-SE"/>
        </w:rPr>
        <w:t>Study selection</w:t>
      </w:r>
    </w:p>
    <w:p w14:paraId="39101110" w14:textId="77777777"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Studies were identified by database, clinical-trials database, and Google Scholar searching, with a total of 3,202. From database searching 3,180 records were found, including 30 from MEDLINE via PubMed, 2,568 from Scopus, and 582 from Embase. From clinical trial registry, 10 records were found from Cochcrane Central. Lastly, 12 records were found from Google Scholar. Among these 3,202 records, 471 duplicates were found and removed, leaving 2,731 records for screening which further excluded 2,723 records.</w:t>
      </w:r>
    </w:p>
    <w:p w14:paraId="144369C1" w14:textId="5525FB86" w:rsidR="004841ED" w:rsidRDefault="008412A7" w:rsidP="004841ED">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Afterwards, 8 records were reviewed by their full-text, of which 2 were ineligible, resulting in a final 6 eligible articles to be included in this review. We listed the excluded studies and reasons for their exclusion according to the Preferred Reporting Items for Systematic Reviews and Meta-analysis (PRISMA) flowchart which is showed in Figure</w:t>
      </w:r>
      <w:r w:rsidR="004841ED">
        <w:rPr>
          <w:color w:val="000000" w:themeColor="text1"/>
          <w:lang w:val="sv-SE"/>
        </w:rPr>
        <w:t xml:space="preserve"> 1. </w:t>
      </w:r>
    </w:p>
    <w:p w14:paraId="0460FF6C" w14:textId="4A4E838D" w:rsidR="004841ED" w:rsidRPr="004841ED" w:rsidRDefault="004841ED" w:rsidP="004841ED">
      <w:pPr>
        <w:widowControl w:val="0"/>
        <w:pBdr>
          <w:top w:val="nil"/>
          <w:left w:val="nil"/>
          <w:bottom w:val="nil"/>
          <w:right w:val="nil"/>
          <w:between w:val="nil"/>
        </w:pBdr>
        <w:ind w:right="11" w:firstLine="720"/>
        <w:jc w:val="both"/>
        <w:rPr>
          <w:color w:val="000000" w:themeColor="text1"/>
          <w:lang w:val="sv-SE"/>
        </w:rPr>
      </w:pPr>
      <w:r w:rsidRPr="004841ED">
        <w:rPr>
          <w:noProof/>
          <w:color w:val="000000" w:themeColor="text1"/>
          <w:lang w:val="sv-SE"/>
        </w:rPr>
        <mc:AlternateContent>
          <mc:Choice Requires="wps">
            <w:drawing>
              <wp:anchor distT="45720" distB="45720" distL="114300" distR="114300" simplePos="0" relativeHeight="251660288" behindDoc="0" locked="0" layoutInCell="1" allowOverlap="1" wp14:anchorId="6CC8E406" wp14:editId="73752970">
                <wp:simplePos x="0" y="0"/>
                <wp:positionH relativeFrom="column">
                  <wp:posOffset>4641215</wp:posOffset>
                </wp:positionH>
                <wp:positionV relativeFrom="paragraph">
                  <wp:posOffset>4425315</wp:posOffset>
                </wp:positionV>
                <wp:extent cx="2360930" cy="1404620"/>
                <wp:effectExtent l="508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solidFill>
                            <a:srgbClr val="000000"/>
                          </a:solidFill>
                          <a:miter lim="800000"/>
                          <a:headEnd/>
                          <a:tailEnd/>
                        </a:ln>
                      </wps:spPr>
                      <wps:txbx>
                        <w:txbxContent>
                          <w:p w14:paraId="2ADB1898" w14:textId="327AF0BD" w:rsidR="004841ED" w:rsidRPr="004841ED" w:rsidRDefault="004841ED">
                            <w:pPr>
                              <w:rPr>
                                <w:sz w:val="16"/>
                                <w:szCs w:val="16"/>
                              </w:rPr>
                            </w:pPr>
                            <w:r w:rsidRPr="004841ED">
                              <w:rPr>
                                <w:sz w:val="16"/>
                                <w:szCs w:val="16"/>
                              </w:rPr>
                              <w:t>Figure 1 PRISMA flowchart for study selection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C8E406" id="_x0000_t202" coordsize="21600,21600" o:spt="202" path="m,l,21600r21600,l21600,xe">
                <v:stroke joinstyle="miter"/>
                <v:path gradientshapeok="t" o:connecttype="rect"/>
              </v:shapetype>
              <v:shape id="Text Box 2" o:spid="_x0000_s1026" type="#_x0000_t202" style="position:absolute;left:0;text-align:left;margin-left:365.45pt;margin-top:348.45pt;width:185.9pt;height:110.6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">
                <v:textbox style="mso-fit-shape-to-text:t">
                  <w:txbxContent>
                    <w:p w14:paraId="2ADB1898" w14:textId="327AF0BD" w:rsidR="004841ED" w:rsidRPr="004841ED" w:rsidRDefault="004841ED">
                      <w:pPr>
                        <w:rPr>
                          <w:sz w:val="16"/>
                          <w:szCs w:val="16"/>
                        </w:rPr>
                      </w:pPr>
                      <w:r w:rsidRPr="004841ED">
                        <w:rPr>
                          <w:sz w:val="16"/>
                          <w:szCs w:val="16"/>
                        </w:rPr>
                        <w:t>Figure 1 PRISMA flowchart for study selection</w:t>
                      </w:r>
                    </w:p>
                  </w:txbxContent>
                </v:textbox>
                <w10:wrap type="square"/>
              </v:shape>
            </w:pict>
          </mc:Fallback>
        </mc:AlternateContent>
      </w:r>
      <w:r>
        <w:rPr>
          <w:noProof/>
          <w:sz w:val="20"/>
        </w:rPr>
        <w:drawing>
          <wp:anchor distT="0" distB="0" distL="114300" distR="114300" simplePos="0" relativeHeight="251658240" behindDoc="0" locked="0" layoutInCell="1" allowOverlap="1" wp14:anchorId="0BD6E635" wp14:editId="31C0B816">
            <wp:simplePos x="1539240" y="1508760"/>
            <wp:positionH relativeFrom="column">
              <wp:align>left</wp:align>
            </wp:positionH>
            <wp:positionV relativeFrom="paragraph">
              <wp:align>top</wp:align>
            </wp:positionV>
            <wp:extent cx="4585555" cy="8407908"/>
            <wp:effectExtent l="0" t="0" r="571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5555" cy="8407908"/>
                    </a:xfrm>
                    <a:prstGeom prst="rect">
                      <a:avLst/>
                    </a:prstGeom>
                  </pic:spPr>
                </pic:pic>
              </a:graphicData>
            </a:graphic>
          </wp:anchor>
        </w:drawing>
      </w:r>
    </w:p>
    <w:p w14:paraId="3F6E0AC5" w14:textId="77777777" w:rsidR="008412A7" w:rsidRPr="008412A7" w:rsidRDefault="008412A7" w:rsidP="008412A7">
      <w:pPr>
        <w:widowControl w:val="0"/>
        <w:pBdr>
          <w:top w:val="nil"/>
          <w:left w:val="nil"/>
          <w:bottom w:val="nil"/>
          <w:right w:val="nil"/>
          <w:between w:val="nil"/>
        </w:pBdr>
        <w:ind w:right="11"/>
        <w:jc w:val="both"/>
        <w:rPr>
          <w:b/>
          <w:bCs/>
          <w:color w:val="000000" w:themeColor="text1"/>
          <w:lang w:val="sv-SE"/>
        </w:rPr>
      </w:pPr>
      <w:r w:rsidRPr="008412A7">
        <w:rPr>
          <w:b/>
          <w:bCs/>
          <w:color w:val="000000" w:themeColor="text1"/>
          <w:lang w:val="sv-SE"/>
        </w:rPr>
        <w:t>Characteristics of included study</w:t>
      </w:r>
    </w:p>
    <w:p w14:paraId="1DA03430" w14:textId="212D3E38" w:rsidR="00C432CC" w:rsidRPr="002804A6" w:rsidRDefault="008412A7" w:rsidP="002804A6">
      <w:pPr>
        <w:widowControl w:val="0"/>
        <w:pBdr>
          <w:top w:val="nil"/>
          <w:left w:val="nil"/>
          <w:bottom w:val="nil"/>
          <w:right w:val="nil"/>
          <w:between w:val="nil"/>
        </w:pBdr>
        <w:ind w:right="11"/>
        <w:jc w:val="both"/>
        <w:rPr>
          <w:b/>
          <w:bCs/>
          <w:color w:val="000000" w:themeColor="text1"/>
          <w:lang w:val="sv-SE"/>
        </w:rPr>
      </w:pPr>
      <w:r w:rsidRPr="002804A6">
        <w:rPr>
          <w:b/>
          <w:bCs/>
          <w:color w:val="000000" w:themeColor="text1"/>
          <w:lang w:val="sv-SE"/>
        </w:rPr>
        <w:t>The characteristics of 6 eligible studies were summarized in Table</w:t>
      </w:r>
      <w:r w:rsidR="00C432CC" w:rsidRPr="002804A6">
        <w:rPr>
          <w:b/>
          <w:bCs/>
          <w:color w:val="000000" w:themeColor="text1"/>
          <w:lang w:val="sv-SE"/>
        </w:rPr>
        <w:t xml:space="preserve"> </w:t>
      </w:r>
      <w:r w:rsidRPr="002804A6">
        <w:rPr>
          <w:b/>
          <w:bCs/>
          <w:color w:val="000000" w:themeColor="text1"/>
          <w:lang w:val="sv-SE"/>
        </w:rPr>
        <w:t>1</w:t>
      </w:r>
      <w:r w:rsidR="004841ED" w:rsidRPr="002804A6">
        <w:rPr>
          <w:b/>
          <w:bCs/>
          <w:color w:val="000000" w:themeColor="text1"/>
          <w:lang w:val="sv-SE"/>
        </w:rPr>
        <w:t>a</w:t>
      </w:r>
      <w:r w:rsidRPr="002804A6">
        <w:rPr>
          <w:b/>
          <w:bCs/>
          <w:color w:val="000000" w:themeColor="text1"/>
          <w:lang w:val="sv-SE"/>
        </w:rPr>
        <w:t>.</w:t>
      </w:r>
      <w:r w:rsidR="004841ED" w:rsidRPr="002804A6">
        <w:rPr>
          <w:b/>
          <w:bCs/>
          <w:color w:val="000000" w:themeColor="text1"/>
          <w:lang w:val="sv-SE"/>
        </w:rPr>
        <w:t xml:space="preserve"> </w:t>
      </w:r>
      <w:r w:rsidR="007367AC" w:rsidRPr="002804A6">
        <w:rPr>
          <w:b/>
          <w:bCs/>
          <w:color w:val="000000" w:themeColor="text1"/>
          <w:lang w:val="sv-SE"/>
        </w:rPr>
        <w:t>a</w:t>
      </w:r>
      <w:r w:rsidR="004841ED" w:rsidRPr="002804A6">
        <w:rPr>
          <w:b/>
          <w:bCs/>
          <w:color w:val="000000" w:themeColor="text1"/>
          <w:lang w:val="sv-SE"/>
        </w:rPr>
        <w:t>nd 1b</w:t>
      </w:r>
      <w:r w:rsidR="007367AC" w:rsidRPr="002804A6">
        <w:rPr>
          <w:b/>
          <w:bCs/>
          <w:color w:val="000000" w:themeColor="text1"/>
          <w:lang w:val="sv-SE"/>
        </w:rPr>
        <w:t>.</w:t>
      </w:r>
      <w:r w:rsidRPr="002804A6">
        <w:rPr>
          <w:b/>
          <w:bCs/>
          <w:color w:val="000000" w:themeColor="text1"/>
          <w:lang w:val="sv-SE"/>
        </w:rPr>
        <w:t xml:space="preserve"> </w:t>
      </w:r>
    </w:p>
    <w:p w14:paraId="3D849AA7" w14:textId="45B60C64"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The studies included 408 acne vulgaris patients, and were published between 2014-2019. Two of these studies were conducted in Vietnam</w:t>
      </w:r>
      <w:r w:rsidR="00123C1F">
        <w:rPr>
          <w:color w:val="000000" w:themeColor="text1"/>
          <w:lang w:val="sv-SE"/>
        </w:rPr>
        <w:t xml:space="preserve"> (Van Thai et al, 2019; Van Thuong et al, 2019) </w:t>
      </w:r>
      <w:r w:rsidRPr="008412A7">
        <w:rPr>
          <w:color w:val="000000" w:themeColor="text1"/>
          <w:lang w:val="sv-SE"/>
        </w:rPr>
        <w:t xml:space="preserve"> and one each from Nepal</w:t>
      </w:r>
      <w:r w:rsidR="00123C1F">
        <w:rPr>
          <w:color w:val="000000" w:themeColor="text1"/>
          <w:lang w:val="sv-SE"/>
        </w:rPr>
        <w:t xml:space="preserve"> (Pandey et al, 2019)</w:t>
      </w:r>
      <w:r w:rsidRPr="008412A7">
        <w:rPr>
          <w:color w:val="000000" w:themeColor="text1"/>
          <w:lang w:val="sv-SE"/>
        </w:rPr>
        <w:t>, Iraq</w:t>
      </w:r>
      <w:r w:rsidR="00123C1F">
        <w:rPr>
          <w:color w:val="000000" w:themeColor="text1"/>
          <w:lang w:val="sv-SE"/>
        </w:rPr>
        <w:t xml:space="preserve"> </w:t>
      </w:r>
      <w:r w:rsidR="002804A6">
        <w:rPr>
          <w:color w:val="000000" w:themeColor="text1"/>
          <w:lang w:val="sv-SE"/>
        </w:rPr>
        <w:fldChar w:fldCharType="begin" w:fldLock="1"/>
      </w:r>
      <w:r w:rsidR="005E388B">
        <w:rPr>
          <w:color w:val="000000" w:themeColor="text1"/>
          <w:lang w:val="sv-SE"/>
        </w:rPr>
        <w:instrText>ADDIN CSL_CITATION {"citationItems":[{"id":"ITEM-1","itemData":{"ISSN":"2352-2410","author":[{"dropping-particle":"","family":"Dhaher","given":"Samer A","non-dropping-particle":"","parse-names":false,"suffix":""},{"dropping-particle":"","family":"Jasim","given":"Zahraa M","non-dropping-particle":"","parse-names":false,"suffix":""}],"container-title":"Journal of Dermatology and Dermatologic Surgery","id":"ITEM-1","issue":"1","issued":{"date-parts":[["2018"]]},"page":"21-25","publisher":"Medknow","title":"The adjunctive effect of desloratadine on the combined azithromycin and isotretinoin in the treatment of severe acne: Randomized clinical trial","type":"article-journal","volume":"22"},"uris":["http://www.mendeley.com/documents/?uuid=bc47f727-0eb7-47f1-a87a-0c312a3e4d76"]}],"mendeley":{"formattedCitation":"(Dhaher &amp; Jasim, 2018)","plainTextFormattedCitation":"(Dhaher &amp; Jasim, 2018)","previouslyFormattedCitation":"(Dhaher &amp; Jasim, 2018)"},"properties":{"noteIndex":0},"schema":"https://github.com/citation-style-language/schema/raw/master/csl-citation.json"}</w:instrText>
      </w:r>
      <w:r w:rsidR="002804A6">
        <w:rPr>
          <w:color w:val="000000" w:themeColor="text1"/>
          <w:lang w:val="sv-SE"/>
        </w:rPr>
        <w:fldChar w:fldCharType="separate"/>
      </w:r>
      <w:r w:rsidR="002804A6" w:rsidRPr="002804A6">
        <w:rPr>
          <w:noProof/>
          <w:color w:val="000000" w:themeColor="text1"/>
          <w:lang w:val="sv-SE"/>
        </w:rPr>
        <w:t>(Dhaher &amp; Jasim, 2018)</w:t>
      </w:r>
      <w:r w:rsidR="002804A6">
        <w:rPr>
          <w:color w:val="000000" w:themeColor="text1"/>
          <w:lang w:val="sv-SE"/>
        </w:rPr>
        <w:fldChar w:fldCharType="end"/>
      </w:r>
      <w:r w:rsidRPr="008412A7">
        <w:rPr>
          <w:color w:val="000000" w:themeColor="text1"/>
          <w:lang w:val="sv-SE"/>
        </w:rPr>
        <w:t>, Egypt</w:t>
      </w:r>
      <w:r w:rsidR="00C62138">
        <w:rPr>
          <w:color w:val="000000" w:themeColor="text1"/>
          <w:lang w:val="sv-SE"/>
        </w:rPr>
        <w:t xml:space="preserve"> (Yosef et al, 2017)</w:t>
      </w:r>
      <w:r w:rsidRPr="008412A7">
        <w:rPr>
          <w:color w:val="000000" w:themeColor="text1"/>
          <w:lang w:val="sv-SE"/>
        </w:rPr>
        <w:t>, and South Korea</w:t>
      </w:r>
      <w:r w:rsidR="00C62138">
        <w:rPr>
          <w:color w:val="000000" w:themeColor="text1"/>
          <w:lang w:val="sv-SE"/>
        </w:rPr>
        <w:t xml:space="preserve"> (Lee et al, 2014)</w:t>
      </w:r>
      <w:r w:rsidRPr="008412A7">
        <w:rPr>
          <w:color w:val="000000" w:themeColor="text1"/>
          <w:lang w:val="sv-SE"/>
        </w:rPr>
        <w:t>.</w:t>
      </w:r>
    </w:p>
    <w:p w14:paraId="6D8CE2C4" w14:textId="2796BA73"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All the studies were single-center, parallel RCTs. Five studies were conducted in clinics</w:t>
      </w:r>
      <w:r w:rsidR="00C62138">
        <w:rPr>
          <w:color w:val="000000" w:themeColor="text1"/>
          <w:lang w:val="sv-SE"/>
        </w:rPr>
        <w:t xml:space="preserve"> (Yosef et al, 2017; Pandey et al, 2019; Van Thai et al, 2019; Van Thuong et al, 2019; Dhaher &amp; Jasim, 2018)</w:t>
      </w:r>
      <w:r w:rsidRPr="008412A7">
        <w:rPr>
          <w:color w:val="000000" w:themeColor="text1"/>
          <w:lang w:val="sv-SE"/>
        </w:rPr>
        <w:t>, and one in a university hospital</w:t>
      </w:r>
      <w:r w:rsidR="00C62138">
        <w:rPr>
          <w:color w:val="000000" w:themeColor="text1"/>
          <w:lang w:val="sv-SE"/>
        </w:rPr>
        <w:t xml:space="preserve"> (Lee et al, 2014)</w:t>
      </w:r>
      <w:r w:rsidRPr="008412A7">
        <w:rPr>
          <w:color w:val="000000" w:themeColor="text1"/>
          <w:lang w:val="sv-SE"/>
        </w:rPr>
        <w:t>. Percentage of male patients ranged from 38.7% to 63.3%. Mean age was reported in 6 studies, ranging</w:t>
      </w:r>
      <w:r>
        <w:rPr>
          <w:color w:val="000000" w:themeColor="text1"/>
          <w:lang w:val="sv-SE"/>
        </w:rPr>
        <w:t xml:space="preserve"> </w:t>
      </w:r>
      <w:r w:rsidRPr="008412A7">
        <w:rPr>
          <w:color w:val="000000" w:themeColor="text1"/>
          <w:lang w:val="sv-SE"/>
        </w:rPr>
        <w:t>from 19 to 22.35 years. However, only 2 studies</w:t>
      </w:r>
      <w:r w:rsidR="00C62138">
        <w:rPr>
          <w:color w:val="000000" w:themeColor="text1"/>
          <w:lang w:val="sv-SE"/>
        </w:rPr>
        <w:t xml:space="preserve"> (Yos</w:t>
      </w:r>
      <w:r w:rsidR="006F1507">
        <w:rPr>
          <w:color w:val="000000" w:themeColor="text1"/>
          <w:lang w:val="sv-SE"/>
        </w:rPr>
        <w:t>e</w:t>
      </w:r>
      <w:r w:rsidR="00C62138">
        <w:rPr>
          <w:color w:val="000000" w:themeColor="text1"/>
          <w:lang w:val="sv-SE"/>
        </w:rPr>
        <w:t xml:space="preserve">f et al, 2017; Van Thai. 2019) </w:t>
      </w:r>
      <w:r w:rsidRPr="008412A7">
        <w:rPr>
          <w:color w:val="000000" w:themeColor="text1"/>
          <w:lang w:val="sv-SE"/>
        </w:rPr>
        <w:t>reported mean BMI, which were</w:t>
      </w:r>
      <w:r>
        <w:rPr>
          <w:color w:val="000000" w:themeColor="text1"/>
          <w:lang w:val="sv-SE"/>
        </w:rPr>
        <w:t xml:space="preserve"> </w:t>
      </w:r>
      <w:r w:rsidRPr="008412A7">
        <w:rPr>
          <w:color w:val="000000" w:themeColor="text1"/>
          <w:lang w:val="sv-SE"/>
        </w:rPr>
        <w:t>20.35 and 23.64 kg/m2.</w:t>
      </w:r>
    </w:p>
    <w:p w14:paraId="50E46387" w14:textId="2D07EECC"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Non-inflammatory lesion count was reported in the 5 studies</w:t>
      </w:r>
      <w:r w:rsidR="006F1507">
        <w:rPr>
          <w:color w:val="000000" w:themeColor="text1"/>
          <w:lang w:val="sv-SE"/>
        </w:rPr>
        <w:t xml:space="preserve"> (Lee et al, 2014; Yosef et al, 2017; Pandey et al, 2019; Van Thai et al, 2019; Van Thuong et al, 2019;)</w:t>
      </w:r>
      <w:r w:rsidRPr="008412A7">
        <w:rPr>
          <w:color w:val="000000" w:themeColor="text1"/>
          <w:lang w:val="sv-SE"/>
        </w:rPr>
        <w:t xml:space="preserve"> and inflammatory lesion count in all 6 studies. Acne severity score was reported in 5 studies, all of which used GAGS score as the measurement tool. Patient satisfaction was reported in 4 studies by using 4-point scale in all of studies. Acne flare was reported in 4 studies, by assessing the presence of nodule at one end. Two of them reported it in 4-point scale</w:t>
      </w:r>
      <w:r w:rsidR="006F1507">
        <w:rPr>
          <w:color w:val="000000" w:themeColor="text1"/>
          <w:lang w:val="sv-SE"/>
        </w:rPr>
        <w:t xml:space="preserve"> (Lee et al, 2014; Pandey et al, 2019) </w:t>
      </w:r>
      <w:r w:rsidRPr="008412A7">
        <w:rPr>
          <w:color w:val="000000" w:themeColor="text1"/>
          <w:lang w:val="sv-SE"/>
        </w:rPr>
        <w:t>while the other as a dichotomous outcome</w:t>
      </w:r>
      <w:r w:rsidR="006F1507">
        <w:rPr>
          <w:color w:val="000000" w:themeColor="text1"/>
          <w:lang w:val="sv-SE"/>
        </w:rPr>
        <w:t xml:space="preserve"> (Yosef et al, 2017; Van Thai. 2019)</w:t>
      </w:r>
      <w:r w:rsidRPr="008412A7">
        <w:rPr>
          <w:color w:val="000000" w:themeColor="text1"/>
          <w:lang w:val="sv-SE"/>
        </w:rPr>
        <w:t>. Lastly, adverse events were reported in all studies.</w:t>
      </w:r>
    </w:p>
    <w:p w14:paraId="68B540F9" w14:textId="120EB40F" w:rsidR="008412A7" w:rsidRDefault="008412A7" w:rsidP="002361C4">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Non-inflammatory lesion count, inflammatory lesion count, acne severity score, acne flare, and adverse events were assessed at 2, 4, 8, 12 weeks after treatment in Lee et al</w:t>
      </w:r>
      <w:r w:rsidR="006F1507">
        <w:rPr>
          <w:color w:val="000000" w:themeColor="text1"/>
          <w:lang w:val="sv-SE"/>
        </w:rPr>
        <w:t xml:space="preserve"> (2014)</w:t>
      </w:r>
      <w:r w:rsidRPr="008412A7">
        <w:rPr>
          <w:color w:val="000000" w:themeColor="text1"/>
          <w:lang w:val="sv-SE"/>
        </w:rPr>
        <w:t xml:space="preserve"> study, while in Yosef et al</w:t>
      </w:r>
      <w:r w:rsidR="006F1507">
        <w:rPr>
          <w:color w:val="000000" w:themeColor="text1"/>
          <w:lang w:val="sv-SE"/>
        </w:rPr>
        <w:t xml:space="preserve"> (2017) </w:t>
      </w:r>
      <w:r w:rsidRPr="008412A7">
        <w:rPr>
          <w:color w:val="000000" w:themeColor="text1"/>
          <w:lang w:val="sv-SE"/>
        </w:rPr>
        <w:t>study those outcomes were assessed every 4 weeks, and finally at 16 weeks after treatment. Pandey &amp; Agrawal</w:t>
      </w:r>
      <w:r w:rsidR="006F1507">
        <w:rPr>
          <w:color w:val="000000" w:themeColor="text1"/>
          <w:lang w:val="sv-SE"/>
        </w:rPr>
        <w:t xml:space="preserve"> (2019)</w:t>
      </w:r>
      <w:r w:rsidRPr="008412A7">
        <w:rPr>
          <w:color w:val="000000" w:themeColor="text1"/>
          <w:lang w:val="sv-SE"/>
        </w:rPr>
        <w:t xml:space="preserve"> assessed those outcomes at 4, 8, and 12 weeks after treatment. Van Thai et al</w:t>
      </w:r>
      <w:r w:rsidR="006F1507">
        <w:rPr>
          <w:color w:val="000000" w:themeColor="text1"/>
          <w:lang w:val="sv-SE"/>
        </w:rPr>
        <w:t xml:space="preserve"> (2019)</w:t>
      </w:r>
      <w:r w:rsidRPr="008412A7">
        <w:rPr>
          <w:color w:val="000000" w:themeColor="text1"/>
          <w:lang w:val="sv-SE"/>
        </w:rPr>
        <w:t xml:space="preserve"> assessed non- inflammatory lesion count, inflammatory lesion count, acne severity score, acne flare, and adverse events at 3, 4, 8, and 12 weeks after treatment. In Dhaher &amp; Jasim</w:t>
      </w:r>
      <w:r w:rsidR="006F1507">
        <w:rPr>
          <w:color w:val="000000" w:themeColor="text1"/>
          <w:lang w:val="sv-SE"/>
        </w:rPr>
        <w:t xml:space="preserve"> (2018)</w:t>
      </w:r>
      <w:r w:rsidRPr="008412A7">
        <w:rPr>
          <w:color w:val="000000" w:themeColor="text1"/>
          <w:lang w:val="sv-SE"/>
        </w:rPr>
        <w:t xml:space="preserve"> study, non-inflammatory lesion count, inflammatory lesion count, and adverse events were assessed every 4 weeks, for 12 weeks after treatment, while Van Thuong et al</w:t>
      </w:r>
      <w:r w:rsidR="006F1507">
        <w:rPr>
          <w:color w:val="000000" w:themeColor="text1"/>
          <w:lang w:val="sv-SE"/>
        </w:rPr>
        <w:t xml:space="preserve"> (2019)</w:t>
      </w:r>
      <w:r w:rsidRPr="008412A7">
        <w:rPr>
          <w:color w:val="000000" w:themeColor="text1"/>
          <w:lang w:val="sv-SE"/>
        </w:rPr>
        <w:t xml:space="preserve"> assessed inflammatory lesion count, acne severity score, and adverse events at 2, 4, 8, 12, and 16 weeks after treatment. Patient satisfaction was assessed at 12 weeks in Lee et al</w:t>
      </w:r>
      <w:r w:rsidR="006F1507">
        <w:rPr>
          <w:color w:val="000000" w:themeColor="text1"/>
          <w:lang w:val="sv-SE"/>
        </w:rPr>
        <w:t xml:space="preserve"> (2014)</w:t>
      </w:r>
      <w:r w:rsidRPr="008412A7">
        <w:rPr>
          <w:color w:val="000000" w:themeColor="text1"/>
          <w:lang w:val="sv-SE"/>
        </w:rPr>
        <w:t>, Dhaher &amp; Jasim</w:t>
      </w:r>
      <w:r w:rsidR="006F1507">
        <w:rPr>
          <w:color w:val="000000" w:themeColor="text1"/>
          <w:lang w:val="sv-SE"/>
        </w:rPr>
        <w:t xml:space="preserve"> (2018)</w:t>
      </w:r>
      <w:r w:rsidRPr="008412A7">
        <w:rPr>
          <w:color w:val="000000" w:themeColor="text1"/>
          <w:lang w:val="sv-SE"/>
        </w:rPr>
        <w:t>, and Pandey &amp; Agrawal</w:t>
      </w:r>
      <w:r w:rsidR="006F1507">
        <w:rPr>
          <w:color w:val="000000" w:themeColor="text1"/>
          <w:lang w:val="sv-SE"/>
        </w:rPr>
        <w:t xml:space="preserve"> (2019)</w:t>
      </w:r>
      <w:r w:rsidRPr="008412A7">
        <w:rPr>
          <w:color w:val="000000" w:themeColor="text1"/>
          <w:lang w:val="sv-SE"/>
        </w:rPr>
        <w:t xml:space="preserve"> studies and at 16 weeks in Yosef et al</w:t>
      </w:r>
      <w:r w:rsidR="006F1507">
        <w:rPr>
          <w:color w:val="000000" w:themeColor="text1"/>
          <w:lang w:val="sv-SE"/>
        </w:rPr>
        <w:t xml:space="preserve"> (2017)</w:t>
      </w:r>
      <w:r w:rsidRPr="008412A7">
        <w:rPr>
          <w:color w:val="000000" w:themeColor="text1"/>
          <w:lang w:val="sv-SE"/>
        </w:rPr>
        <w:t xml:space="preserve"> after treatment. Authors used 12 weeks’ time point for non-inflammatory lesion count, inflammatory lesion count, acne severity score, acne flare, and adverse events in the analyses in Lee et al </w:t>
      </w:r>
      <w:r w:rsidR="006F1507">
        <w:rPr>
          <w:color w:val="000000" w:themeColor="text1"/>
          <w:lang w:val="sv-SE"/>
        </w:rPr>
        <w:t>(2014)</w:t>
      </w:r>
      <w:r w:rsidRPr="008412A7">
        <w:rPr>
          <w:color w:val="000000" w:themeColor="text1"/>
          <w:lang w:val="sv-SE"/>
        </w:rPr>
        <w:t xml:space="preserve"> and Pandey &amp; Agrawal</w:t>
      </w:r>
      <w:r w:rsidR="006F1507">
        <w:rPr>
          <w:color w:val="000000" w:themeColor="text1"/>
          <w:lang w:val="sv-SE"/>
        </w:rPr>
        <w:t xml:space="preserve"> (2019)</w:t>
      </w:r>
      <w:r w:rsidRPr="008412A7">
        <w:rPr>
          <w:color w:val="000000" w:themeColor="text1"/>
          <w:lang w:val="sv-SE"/>
        </w:rPr>
        <w:t xml:space="preserve"> studies, while in Yosef et al</w:t>
      </w:r>
      <w:r w:rsidR="006F1507">
        <w:rPr>
          <w:color w:val="000000" w:themeColor="text1"/>
          <w:lang w:val="sv-SE"/>
        </w:rPr>
        <w:t xml:space="preserve"> (2017),</w:t>
      </w:r>
      <w:r w:rsidRPr="008412A7">
        <w:rPr>
          <w:color w:val="000000" w:themeColor="text1"/>
          <w:lang w:val="sv-SE"/>
        </w:rPr>
        <w:t xml:space="preserve"> authors used 16 weeks’ time point for those outcomes in analyses. Next, authors used 12 weeks’ time point for non-inflammatory lesion count, inflammatory lesion count, acne severity score, acne flare, and adverse events in Van Thai et al</w:t>
      </w:r>
      <w:r w:rsidR="006F1507">
        <w:rPr>
          <w:color w:val="000000" w:themeColor="text1"/>
          <w:lang w:val="sv-SE"/>
        </w:rPr>
        <w:t xml:space="preserve"> (2019)</w:t>
      </w:r>
      <w:r w:rsidRPr="008412A7">
        <w:rPr>
          <w:color w:val="000000" w:themeColor="text1"/>
          <w:lang w:val="sv-SE"/>
        </w:rPr>
        <w:t xml:space="preserve"> study. In Dhaher &amp; Jasim</w:t>
      </w:r>
      <w:r w:rsidR="006F1507">
        <w:rPr>
          <w:color w:val="000000" w:themeColor="text1"/>
          <w:lang w:val="sv-SE"/>
        </w:rPr>
        <w:t xml:space="preserve"> (2018)</w:t>
      </w:r>
      <w:r w:rsidRPr="008412A7">
        <w:rPr>
          <w:color w:val="000000" w:themeColor="text1"/>
          <w:lang w:val="sv-SE"/>
        </w:rPr>
        <w:t xml:space="preserve"> study, authors used 12 weeks’ time point for non-inflammatory lesion count, inflammatory lesion count, and adverse events in analyses. Lastly, authors used 16 weeks’ time point for inflammatory lesion count, acne severity score, and adverse events in Van Thuong et al</w:t>
      </w:r>
      <w:r w:rsidR="006F1507">
        <w:rPr>
          <w:color w:val="000000" w:themeColor="text1"/>
          <w:lang w:val="sv-SE"/>
        </w:rPr>
        <w:t xml:space="preserve"> (2019) </w:t>
      </w:r>
      <w:r w:rsidRPr="008412A7">
        <w:rPr>
          <w:color w:val="000000" w:themeColor="text1"/>
          <w:lang w:val="sv-SE"/>
        </w:rPr>
        <w:t>study in analyses. For patient satisfaction, authors used 12 weeks’ time point in Lee et al</w:t>
      </w:r>
      <w:r w:rsidR="00FE3A15">
        <w:rPr>
          <w:color w:val="000000" w:themeColor="text1"/>
          <w:lang w:val="sv-SE"/>
        </w:rPr>
        <w:t xml:space="preserve"> (2014)</w:t>
      </w:r>
      <w:r w:rsidRPr="008412A7">
        <w:rPr>
          <w:color w:val="000000" w:themeColor="text1"/>
          <w:lang w:val="sv-SE"/>
        </w:rPr>
        <w:t>, Dhaher &amp; Jasim</w:t>
      </w:r>
      <w:r w:rsidR="00FE3A15">
        <w:rPr>
          <w:color w:val="000000" w:themeColor="text1"/>
          <w:lang w:val="sv-SE"/>
        </w:rPr>
        <w:t xml:space="preserve"> (2018)</w:t>
      </w:r>
      <w:r w:rsidRPr="008412A7">
        <w:rPr>
          <w:color w:val="000000" w:themeColor="text1"/>
          <w:lang w:val="sv-SE"/>
        </w:rPr>
        <w:t>, and Pandey &amp; Agrawal</w:t>
      </w:r>
      <w:r w:rsidR="00FE3A15">
        <w:rPr>
          <w:color w:val="000000" w:themeColor="text1"/>
          <w:lang w:val="sv-SE"/>
        </w:rPr>
        <w:t xml:space="preserve"> (2019)</w:t>
      </w:r>
      <w:r w:rsidR="002361C4">
        <w:rPr>
          <w:color w:val="000000" w:themeColor="text1"/>
          <w:lang w:val="sv-SE"/>
        </w:rPr>
        <w:t xml:space="preserve"> </w:t>
      </w:r>
      <w:r w:rsidRPr="008412A7">
        <w:rPr>
          <w:color w:val="000000" w:themeColor="text1"/>
          <w:lang w:val="sv-SE"/>
        </w:rPr>
        <w:t>studies and at 16 weeks’ time point in Yosef et al</w:t>
      </w:r>
      <w:r w:rsidR="00FE3A15">
        <w:rPr>
          <w:color w:val="000000" w:themeColor="text1"/>
          <w:lang w:val="sv-SE"/>
        </w:rPr>
        <w:t xml:space="preserve"> (2017)</w:t>
      </w:r>
      <w:r w:rsidRPr="008412A7">
        <w:rPr>
          <w:color w:val="000000" w:themeColor="text1"/>
          <w:lang w:val="sv-SE"/>
        </w:rPr>
        <w:t xml:space="preserve"> in analyses. Briefly, authors used final time point for each outcome, because at that time the final effects of drug action should be shown.</w:t>
      </w:r>
    </w:p>
    <w:p w14:paraId="49FE2247" w14:textId="77777777" w:rsidR="007367AC" w:rsidRDefault="007367AC" w:rsidP="002361C4">
      <w:pPr>
        <w:widowControl w:val="0"/>
        <w:pBdr>
          <w:top w:val="nil"/>
          <w:left w:val="nil"/>
          <w:bottom w:val="nil"/>
          <w:right w:val="nil"/>
          <w:between w:val="nil"/>
        </w:pBdr>
        <w:ind w:right="11" w:firstLine="720"/>
        <w:jc w:val="both"/>
        <w:rPr>
          <w:color w:val="000000" w:themeColor="text1"/>
          <w:lang w:val="sv-SE"/>
        </w:rPr>
      </w:pPr>
    </w:p>
    <w:p w14:paraId="2BA62A21" w14:textId="77777777" w:rsidR="002B35C4" w:rsidRDefault="002B35C4" w:rsidP="002361C4">
      <w:pPr>
        <w:widowControl w:val="0"/>
        <w:pBdr>
          <w:top w:val="nil"/>
          <w:left w:val="nil"/>
          <w:bottom w:val="nil"/>
          <w:right w:val="nil"/>
          <w:between w:val="nil"/>
        </w:pBdr>
        <w:ind w:right="11" w:firstLine="720"/>
        <w:jc w:val="both"/>
        <w:rPr>
          <w:color w:val="000000" w:themeColor="text1"/>
          <w:lang w:val="sv-SE"/>
        </w:rPr>
      </w:pPr>
    </w:p>
    <w:p w14:paraId="2C8E4EAA" w14:textId="77E3632B" w:rsidR="007367AC" w:rsidRDefault="007367AC" w:rsidP="007367AC">
      <w:pPr>
        <w:widowControl w:val="0"/>
        <w:pBdr>
          <w:top w:val="nil"/>
          <w:left w:val="nil"/>
          <w:bottom w:val="nil"/>
          <w:right w:val="nil"/>
          <w:between w:val="nil"/>
        </w:pBdr>
        <w:ind w:right="11" w:firstLine="720"/>
        <w:jc w:val="center"/>
        <w:rPr>
          <w:b/>
          <w:bCs/>
          <w:color w:val="000000" w:themeColor="text1"/>
          <w:lang w:val="sv-SE"/>
        </w:rPr>
      </w:pPr>
      <w:r w:rsidRPr="004841ED">
        <w:rPr>
          <w:b/>
          <w:bCs/>
          <w:color w:val="000000" w:themeColor="text1"/>
          <w:lang w:val="sv-SE"/>
        </w:rPr>
        <w:t>Table 1</w:t>
      </w:r>
      <w:r>
        <w:rPr>
          <w:b/>
          <w:bCs/>
          <w:color w:val="000000" w:themeColor="text1"/>
          <w:lang w:val="sv-SE"/>
        </w:rPr>
        <w:t>a</w:t>
      </w:r>
      <w:r w:rsidRPr="004841ED">
        <w:rPr>
          <w:b/>
          <w:bCs/>
          <w:color w:val="000000" w:themeColor="text1"/>
          <w:lang w:val="sv-SE"/>
        </w:rPr>
        <w:t>. Characteristics of included studies</w:t>
      </w:r>
    </w:p>
    <w:p w14:paraId="74C8E588" w14:textId="77777777" w:rsidR="007367AC" w:rsidRDefault="007367AC" w:rsidP="007367AC">
      <w:pPr>
        <w:pStyle w:val="TableParagraph"/>
        <w:ind w:left="425"/>
        <w:rPr>
          <w:b/>
          <w:sz w:val="20"/>
        </w:rPr>
      </w:pPr>
    </w:p>
    <w:tbl>
      <w:tblPr>
        <w:tblW w:w="10348" w:type="dxa"/>
        <w:jc w:val="center"/>
        <w:tblLayout w:type="fixed"/>
        <w:tblCellMar>
          <w:left w:w="0" w:type="dxa"/>
          <w:right w:w="0" w:type="dxa"/>
        </w:tblCellMar>
        <w:tblLook w:val="01E0" w:firstRow="1" w:lastRow="1" w:firstColumn="1" w:lastColumn="1" w:noHBand="0" w:noVBand="0"/>
      </w:tblPr>
      <w:tblGrid>
        <w:gridCol w:w="993"/>
        <w:gridCol w:w="850"/>
        <w:gridCol w:w="606"/>
        <w:gridCol w:w="953"/>
        <w:gridCol w:w="709"/>
        <w:gridCol w:w="709"/>
        <w:gridCol w:w="992"/>
        <w:gridCol w:w="1134"/>
        <w:gridCol w:w="935"/>
        <w:gridCol w:w="839"/>
        <w:gridCol w:w="778"/>
        <w:gridCol w:w="850"/>
      </w:tblGrid>
      <w:tr w:rsidR="007367AC" w14:paraId="647E49AE" w14:textId="77777777" w:rsidTr="002804A6">
        <w:trPr>
          <w:trHeight w:val="1380"/>
          <w:jc w:val="center"/>
        </w:trPr>
        <w:tc>
          <w:tcPr>
            <w:tcW w:w="993" w:type="dxa"/>
            <w:tcBorders>
              <w:top w:val="single" w:sz="4" w:space="0" w:color="000000"/>
              <w:bottom w:val="single" w:sz="4" w:space="0" w:color="000000"/>
            </w:tcBorders>
          </w:tcPr>
          <w:p w14:paraId="0BC3714E" w14:textId="77777777" w:rsidR="002804A6" w:rsidRDefault="007367AC" w:rsidP="002804A6">
            <w:pPr>
              <w:pStyle w:val="TableParagraph"/>
              <w:ind w:left="144"/>
              <w:rPr>
                <w:b/>
                <w:spacing w:val="-1"/>
                <w:sz w:val="20"/>
              </w:rPr>
            </w:pPr>
            <w:r>
              <w:rPr>
                <w:b/>
                <w:sz w:val="20"/>
              </w:rPr>
              <w:t>First</w:t>
            </w:r>
            <w:r>
              <w:rPr>
                <w:b/>
                <w:spacing w:val="-1"/>
                <w:sz w:val="20"/>
              </w:rPr>
              <w:t xml:space="preserve"> </w:t>
            </w:r>
          </w:p>
          <w:p w14:paraId="68472579" w14:textId="77777777" w:rsidR="002804A6" w:rsidRDefault="007367AC" w:rsidP="002804A6">
            <w:pPr>
              <w:pStyle w:val="TableParagraph"/>
              <w:ind w:left="144"/>
              <w:rPr>
                <w:b/>
                <w:sz w:val="20"/>
              </w:rPr>
            </w:pPr>
            <w:r>
              <w:rPr>
                <w:b/>
                <w:sz w:val="20"/>
              </w:rPr>
              <w:t xml:space="preserve">author, </w:t>
            </w:r>
          </w:p>
          <w:p w14:paraId="6285A8DA" w14:textId="63DE754E" w:rsidR="007367AC" w:rsidRDefault="007367AC" w:rsidP="002804A6">
            <w:pPr>
              <w:pStyle w:val="TableParagraph"/>
              <w:ind w:left="144"/>
              <w:rPr>
                <w:b/>
                <w:sz w:val="20"/>
              </w:rPr>
            </w:pPr>
            <w:r>
              <w:rPr>
                <w:b/>
                <w:sz w:val="20"/>
              </w:rPr>
              <w:t>year</w:t>
            </w:r>
          </w:p>
        </w:tc>
        <w:tc>
          <w:tcPr>
            <w:tcW w:w="850" w:type="dxa"/>
            <w:tcBorders>
              <w:top w:val="single" w:sz="4" w:space="0" w:color="000000"/>
              <w:bottom w:val="single" w:sz="4" w:space="0" w:color="000000"/>
            </w:tcBorders>
          </w:tcPr>
          <w:p w14:paraId="3CAB9BF2" w14:textId="77777777" w:rsidR="007367AC" w:rsidRDefault="007367AC" w:rsidP="002804A6">
            <w:pPr>
              <w:pStyle w:val="TableParagraph"/>
              <w:jc w:val="center"/>
              <w:rPr>
                <w:b/>
                <w:sz w:val="20"/>
              </w:rPr>
            </w:pPr>
            <w:r>
              <w:rPr>
                <w:b/>
                <w:sz w:val="20"/>
              </w:rPr>
              <w:t>Country</w:t>
            </w:r>
          </w:p>
        </w:tc>
        <w:tc>
          <w:tcPr>
            <w:tcW w:w="606" w:type="dxa"/>
            <w:tcBorders>
              <w:top w:val="single" w:sz="4" w:space="0" w:color="000000"/>
              <w:bottom w:val="single" w:sz="4" w:space="0" w:color="000000"/>
            </w:tcBorders>
          </w:tcPr>
          <w:p w14:paraId="1E8A6A35" w14:textId="77777777" w:rsidR="007367AC" w:rsidRDefault="007367AC" w:rsidP="002804A6">
            <w:pPr>
              <w:pStyle w:val="TableParagraph"/>
              <w:ind w:left="144" w:right="240"/>
              <w:jc w:val="right"/>
              <w:rPr>
                <w:b/>
                <w:sz w:val="20"/>
              </w:rPr>
            </w:pPr>
            <w:r>
              <w:rPr>
                <w:b/>
                <w:w w:val="99"/>
                <w:sz w:val="20"/>
              </w:rPr>
              <w:t>N</w:t>
            </w:r>
          </w:p>
        </w:tc>
        <w:tc>
          <w:tcPr>
            <w:tcW w:w="953" w:type="dxa"/>
            <w:tcBorders>
              <w:top w:val="single" w:sz="4" w:space="0" w:color="000000"/>
              <w:bottom w:val="single" w:sz="4" w:space="0" w:color="000000"/>
            </w:tcBorders>
          </w:tcPr>
          <w:p w14:paraId="3F193E2F" w14:textId="77777777" w:rsidR="007367AC" w:rsidRDefault="007367AC" w:rsidP="002804A6">
            <w:pPr>
              <w:pStyle w:val="TableParagraph"/>
              <w:jc w:val="center"/>
              <w:rPr>
                <w:b/>
                <w:sz w:val="20"/>
              </w:rPr>
            </w:pPr>
            <w:r>
              <w:rPr>
                <w:b/>
                <w:sz w:val="20"/>
              </w:rPr>
              <w:t>Setting</w:t>
            </w:r>
          </w:p>
        </w:tc>
        <w:tc>
          <w:tcPr>
            <w:tcW w:w="709" w:type="dxa"/>
            <w:tcBorders>
              <w:top w:val="single" w:sz="4" w:space="0" w:color="000000"/>
              <w:bottom w:val="single" w:sz="4" w:space="0" w:color="000000"/>
            </w:tcBorders>
          </w:tcPr>
          <w:p w14:paraId="46735D20" w14:textId="77777777" w:rsidR="007367AC" w:rsidRDefault="007367AC" w:rsidP="002804A6">
            <w:pPr>
              <w:pStyle w:val="TableParagraph"/>
              <w:rPr>
                <w:b/>
                <w:sz w:val="20"/>
              </w:rPr>
            </w:pPr>
            <w:r>
              <w:rPr>
                <w:b/>
                <w:sz w:val="20"/>
              </w:rPr>
              <w:t>Center</w:t>
            </w:r>
          </w:p>
        </w:tc>
        <w:tc>
          <w:tcPr>
            <w:tcW w:w="709" w:type="dxa"/>
            <w:tcBorders>
              <w:top w:val="single" w:sz="4" w:space="0" w:color="000000"/>
              <w:bottom w:val="single" w:sz="4" w:space="0" w:color="000000"/>
            </w:tcBorders>
          </w:tcPr>
          <w:p w14:paraId="52C87C7A" w14:textId="77777777" w:rsidR="007367AC" w:rsidRDefault="007367AC" w:rsidP="002804A6">
            <w:pPr>
              <w:pStyle w:val="TableParagraph"/>
              <w:ind w:left="-5" w:right="65"/>
              <w:jc w:val="center"/>
              <w:rPr>
                <w:b/>
                <w:sz w:val="20"/>
              </w:rPr>
            </w:pPr>
            <w:r>
              <w:rPr>
                <w:b/>
                <w:sz w:val="20"/>
              </w:rPr>
              <w:t>Design</w:t>
            </w:r>
          </w:p>
        </w:tc>
        <w:tc>
          <w:tcPr>
            <w:tcW w:w="992" w:type="dxa"/>
            <w:tcBorders>
              <w:top w:val="single" w:sz="4" w:space="0" w:color="000000"/>
              <w:bottom w:val="single" w:sz="4" w:space="0" w:color="000000"/>
            </w:tcBorders>
          </w:tcPr>
          <w:p w14:paraId="705C24B7" w14:textId="77777777" w:rsidR="007367AC" w:rsidRDefault="007367AC" w:rsidP="002804A6">
            <w:pPr>
              <w:pStyle w:val="TableParagraph"/>
              <w:spacing w:line="360" w:lineRule="auto"/>
              <w:ind w:right="-144" w:firstLine="40"/>
              <w:jc w:val="center"/>
              <w:rPr>
                <w:b/>
                <w:sz w:val="20"/>
              </w:rPr>
            </w:pPr>
            <w:r>
              <w:rPr>
                <w:b/>
                <w:spacing w:val="-1"/>
                <w:sz w:val="20"/>
              </w:rPr>
              <w:t>Treatment</w:t>
            </w:r>
            <w:r>
              <w:rPr>
                <w:b/>
                <w:spacing w:val="-47"/>
                <w:sz w:val="20"/>
              </w:rPr>
              <w:t xml:space="preserve"> </w:t>
            </w:r>
            <w:r>
              <w:rPr>
                <w:b/>
                <w:sz w:val="20"/>
              </w:rPr>
              <w:t>arms</w:t>
            </w:r>
          </w:p>
        </w:tc>
        <w:tc>
          <w:tcPr>
            <w:tcW w:w="1134" w:type="dxa"/>
            <w:tcBorders>
              <w:top w:val="single" w:sz="4" w:space="0" w:color="000000"/>
              <w:bottom w:val="single" w:sz="4" w:space="0" w:color="000000"/>
            </w:tcBorders>
          </w:tcPr>
          <w:p w14:paraId="19F97CDD" w14:textId="77777777" w:rsidR="007367AC" w:rsidRDefault="007367AC" w:rsidP="002804A6">
            <w:pPr>
              <w:pStyle w:val="TableParagraph"/>
              <w:spacing w:line="360" w:lineRule="auto"/>
              <w:ind w:left="144" w:right="125"/>
              <w:jc w:val="center"/>
              <w:rPr>
                <w:b/>
                <w:sz w:val="20"/>
              </w:rPr>
            </w:pPr>
            <w:r w:rsidRPr="002804A6">
              <w:rPr>
                <w:b/>
                <w:spacing w:val="-1"/>
                <w:sz w:val="18"/>
                <w:szCs w:val="20"/>
              </w:rPr>
              <w:t>Treatment</w:t>
            </w:r>
            <w:r w:rsidRPr="002804A6">
              <w:rPr>
                <w:b/>
                <w:spacing w:val="-47"/>
                <w:sz w:val="18"/>
                <w:szCs w:val="20"/>
              </w:rPr>
              <w:t xml:space="preserve"> </w:t>
            </w:r>
            <w:r w:rsidRPr="002804A6">
              <w:rPr>
                <w:b/>
                <w:sz w:val="18"/>
                <w:szCs w:val="20"/>
              </w:rPr>
              <w:t>duration</w:t>
            </w:r>
            <w:r w:rsidRPr="002804A6">
              <w:rPr>
                <w:b/>
                <w:spacing w:val="1"/>
                <w:sz w:val="18"/>
                <w:szCs w:val="20"/>
              </w:rPr>
              <w:t xml:space="preserve"> </w:t>
            </w:r>
            <w:r w:rsidRPr="002804A6">
              <w:rPr>
                <w:b/>
                <w:sz w:val="18"/>
                <w:szCs w:val="20"/>
              </w:rPr>
              <w:t>(weeks)</w:t>
            </w:r>
          </w:p>
        </w:tc>
        <w:tc>
          <w:tcPr>
            <w:tcW w:w="935" w:type="dxa"/>
            <w:tcBorders>
              <w:top w:val="single" w:sz="4" w:space="0" w:color="000000"/>
              <w:bottom w:val="single" w:sz="4" w:space="0" w:color="000000"/>
            </w:tcBorders>
          </w:tcPr>
          <w:p w14:paraId="194CF0D3" w14:textId="2CF9E278" w:rsidR="002804A6" w:rsidRPr="002804A6" w:rsidRDefault="007367AC" w:rsidP="002804A6">
            <w:pPr>
              <w:pStyle w:val="TableParagraph"/>
              <w:spacing w:line="360" w:lineRule="auto"/>
              <w:ind w:right="-54" w:hanging="3"/>
              <w:jc w:val="center"/>
              <w:rPr>
                <w:b/>
                <w:sz w:val="18"/>
                <w:szCs w:val="20"/>
              </w:rPr>
            </w:pPr>
            <w:r w:rsidRPr="002804A6">
              <w:rPr>
                <w:b/>
                <w:sz w:val="18"/>
                <w:szCs w:val="20"/>
              </w:rPr>
              <w:t>%</w:t>
            </w:r>
          </w:p>
          <w:p w14:paraId="1337F1D8" w14:textId="4B6914BA" w:rsidR="007367AC" w:rsidRPr="002804A6" w:rsidRDefault="007367AC" w:rsidP="002804A6">
            <w:pPr>
              <w:pStyle w:val="TableParagraph"/>
              <w:spacing w:line="360" w:lineRule="auto"/>
              <w:ind w:right="-54" w:hanging="3"/>
              <w:jc w:val="center"/>
              <w:rPr>
                <w:b/>
                <w:sz w:val="18"/>
                <w:szCs w:val="20"/>
              </w:rPr>
            </w:pPr>
            <w:r w:rsidRPr="002804A6">
              <w:rPr>
                <w:b/>
                <w:sz w:val="18"/>
                <w:szCs w:val="20"/>
              </w:rPr>
              <w:t>Male</w:t>
            </w:r>
            <w:r w:rsidRPr="002804A6">
              <w:rPr>
                <w:b/>
                <w:spacing w:val="-47"/>
                <w:sz w:val="18"/>
                <w:szCs w:val="20"/>
              </w:rPr>
              <w:t xml:space="preserve"> </w:t>
            </w:r>
            <w:r w:rsidRPr="002804A6">
              <w:rPr>
                <w:b/>
                <w:sz w:val="18"/>
                <w:szCs w:val="20"/>
              </w:rPr>
              <w:t>patients</w:t>
            </w:r>
          </w:p>
        </w:tc>
        <w:tc>
          <w:tcPr>
            <w:tcW w:w="839" w:type="dxa"/>
            <w:tcBorders>
              <w:top w:val="single" w:sz="4" w:space="0" w:color="000000"/>
              <w:bottom w:val="single" w:sz="4" w:space="0" w:color="000000"/>
            </w:tcBorders>
          </w:tcPr>
          <w:p w14:paraId="6445B0DA" w14:textId="77777777" w:rsidR="007367AC" w:rsidRPr="002804A6" w:rsidRDefault="007367AC" w:rsidP="002804A6">
            <w:pPr>
              <w:pStyle w:val="TableParagraph"/>
              <w:spacing w:line="360" w:lineRule="auto"/>
              <w:ind w:hanging="4"/>
              <w:jc w:val="center"/>
              <w:rPr>
                <w:b/>
                <w:sz w:val="18"/>
                <w:szCs w:val="20"/>
              </w:rPr>
            </w:pPr>
            <w:r w:rsidRPr="002804A6">
              <w:rPr>
                <w:b/>
                <w:sz w:val="18"/>
                <w:szCs w:val="20"/>
              </w:rPr>
              <w:t>Mean</w:t>
            </w:r>
            <w:r w:rsidRPr="002804A6">
              <w:rPr>
                <w:b/>
                <w:spacing w:val="1"/>
                <w:sz w:val="18"/>
                <w:szCs w:val="20"/>
              </w:rPr>
              <w:t xml:space="preserve"> </w:t>
            </w:r>
            <w:r w:rsidRPr="002804A6">
              <w:rPr>
                <w:b/>
                <w:sz w:val="18"/>
                <w:szCs w:val="20"/>
              </w:rPr>
              <w:t>age</w:t>
            </w:r>
            <w:r w:rsidRPr="002804A6">
              <w:rPr>
                <w:b/>
                <w:spacing w:val="1"/>
                <w:sz w:val="18"/>
                <w:szCs w:val="20"/>
              </w:rPr>
              <w:t xml:space="preserve"> </w:t>
            </w:r>
            <w:r w:rsidRPr="002804A6">
              <w:rPr>
                <w:b/>
                <w:sz w:val="18"/>
                <w:szCs w:val="20"/>
              </w:rPr>
              <w:t>(years)</w:t>
            </w:r>
          </w:p>
        </w:tc>
        <w:tc>
          <w:tcPr>
            <w:tcW w:w="778" w:type="dxa"/>
            <w:tcBorders>
              <w:top w:val="single" w:sz="4" w:space="0" w:color="000000"/>
              <w:bottom w:val="single" w:sz="4" w:space="0" w:color="000000"/>
            </w:tcBorders>
          </w:tcPr>
          <w:p w14:paraId="609E7CAD" w14:textId="77777777" w:rsidR="007367AC" w:rsidRDefault="007367AC" w:rsidP="002804A6">
            <w:pPr>
              <w:pStyle w:val="TableParagraph"/>
              <w:spacing w:line="360" w:lineRule="auto"/>
              <w:jc w:val="center"/>
              <w:rPr>
                <w:b/>
                <w:sz w:val="20"/>
              </w:rPr>
            </w:pPr>
            <w:r>
              <w:rPr>
                <w:b/>
                <w:sz w:val="20"/>
              </w:rPr>
              <w:t>Mean</w:t>
            </w:r>
            <w:r>
              <w:rPr>
                <w:b/>
                <w:spacing w:val="-48"/>
                <w:sz w:val="20"/>
              </w:rPr>
              <w:t xml:space="preserve"> </w:t>
            </w:r>
            <w:r>
              <w:rPr>
                <w:b/>
                <w:sz w:val="20"/>
              </w:rPr>
              <w:t>BMI</w:t>
            </w:r>
          </w:p>
          <w:p w14:paraId="3B21DEC0" w14:textId="77777777" w:rsidR="007367AC" w:rsidRDefault="007367AC" w:rsidP="002804A6">
            <w:pPr>
              <w:pStyle w:val="TableParagraph"/>
              <w:spacing w:before="1"/>
              <w:jc w:val="center"/>
              <w:rPr>
                <w:b/>
                <w:sz w:val="20"/>
              </w:rPr>
            </w:pPr>
            <w:r>
              <w:rPr>
                <w:b/>
                <w:sz w:val="20"/>
              </w:rPr>
              <w:t>(kg/m</w:t>
            </w:r>
            <w:r>
              <w:rPr>
                <w:b/>
                <w:sz w:val="20"/>
                <w:vertAlign w:val="superscript"/>
              </w:rPr>
              <w:t>2</w:t>
            </w:r>
            <w:r>
              <w:rPr>
                <w:b/>
                <w:sz w:val="20"/>
              </w:rPr>
              <w:t>)</w:t>
            </w:r>
          </w:p>
        </w:tc>
        <w:tc>
          <w:tcPr>
            <w:tcW w:w="850" w:type="dxa"/>
            <w:tcBorders>
              <w:top w:val="single" w:sz="4" w:space="0" w:color="000000"/>
              <w:bottom w:val="single" w:sz="4" w:space="0" w:color="000000"/>
            </w:tcBorders>
          </w:tcPr>
          <w:p w14:paraId="1D6B46CA" w14:textId="77777777" w:rsidR="007367AC" w:rsidRDefault="007367AC" w:rsidP="002804A6">
            <w:pPr>
              <w:pStyle w:val="TableParagraph"/>
              <w:spacing w:line="360" w:lineRule="auto"/>
              <w:ind w:right="34" w:hanging="1"/>
              <w:jc w:val="center"/>
              <w:rPr>
                <w:b/>
                <w:sz w:val="20"/>
              </w:rPr>
            </w:pPr>
            <w:r>
              <w:rPr>
                <w:b/>
                <w:sz w:val="20"/>
              </w:rPr>
              <w:t>Mean</w:t>
            </w:r>
            <w:r>
              <w:rPr>
                <w:b/>
                <w:spacing w:val="1"/>
                <w:sz w:val="20"/>
              </w:rPr>
              <w:t xml:space="preserve"> </w:t>
            </w:r>
            <w:r>
              <w:rPr>
                <w:b/>
                <w:spacing w:val="-1"/>
                <w:sz w:val="20"/>
              </w:rPr>
              <w:t xml:space="preserve">duration </w:t>
            </w:r>
            <w:r>
              <w:rPr>
                <w:b/>
                <w:sz w:val="20"/>
              </w:rPr>
              <w:t>of</w:t>
            </w:r>
            <w:r>
              <w:rPr>
                <w:b/>
                <w:spacing w:val="-47"/>
                <w:sz w:val="20"/>
              </w:rPr>
              <w:t xml:space="preserve"> </w:t>
            </w:r>
            <w:r>
              <w:rPr>
                <w:b/>
                <w:sz w:val="20"/>
              </w:rPr>
              <w:t>acnes</w:t>
            </w:r>
          </w:p>
          <w:p w14:paraId="37878175" w14:textId="77777777" w:rsidR="007367AC" w:rsidRDefault="007367AC" w:rsidP="002804A6">
            <w:pPr>
              <w:pStyle w:val="TableParagraph"/>
              <w:ind w:right="34"/>
              <w:jc w:val="center"/>
              <w:rPr>
                <w:b/>
                <w:sz w:val="20"/>
              </w:rPr>
            </w:pPr>
            <w:r>
              <w:rPr>
                <w:b/>
                <w:sz w:val="20"/>
              </w:rPr>
              <w:t>(months)</w:t>
            </w:r>
          </w:p>
        </w:tc>
      </w:tr>
      <w:tr w:rsidR="007367AC" w14:paraId="2D642CC5" w14:textId="77777777" w:rsidTr="002804A6">
        <w:trPr>
          <w:trHeight w:val="638"/>
          <w:jc w:val="center"/>
        </w:trPr>
        <w:tc>
          <w:tcPr>
            <w:tcW w:w="993" w:type="dxa"/>
            <w:tcBorders>
              <w:top w:val="single" w:sz="4" w:space="0" w:color="000000"/>
            </w:tcBorders>
          </w:tcPr>
          <w:p w14:paraId="5BDD92CB" w14:textId="77777777" w:rsidR="007367AC" w:rsidRDefault="007367AC" w:rsidP="002804A6">
            <w:pPr>
              <w:pStyle w:val="TableParagraph"/>
              <w:ind w:left="144"/>
              <w:rPr>
                <w:sz w:val="20"/>
              </w:rPr>
            </w:pPr>
            <w:r>
              <w:rPr>
                <w:sz w:val="20"/>
              </w:rPr>
              <w:t>Lee</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2014</w:t>
            </w:r>
          </w:p>
        </w:tc>
        <w:tc>
          <w:tcPr>
            <w:tcW w:w="850" w:type="dxa"/>
            <w:tcBorders>
              <w:top w:val="single" w:sz="4" w:space="0" w:color="000000"/>
            </w:tcBorders>
          </w:tcPr>
          <w:p w14:paraId="5E5555E1" w14:textId="77777777" w:rsidR="007367AC" w:rsidRDefault="007367AC" w:rsidP="002804A6">
            <w:pPr>
              <w:pStyle w:val="TableParagraph"/>
              <w:jc w:val="center"/>
              <w:rPr>
                <w:sz w:val="20"/>
              </w:rPr>
            </w:pPr>
            <w:r>
              <w:rPr>
                <w:sz w:val="20"/>
              </w:rPr>
              <w:t>South</w:t>
            </w:r>
          </w:p>
          <w:p w14:paraId="0ACC744E" w14:textId="77777777" w:rsidR="007367AC" w:rsidRDefault="007367AC" w:rsidP="002804A6">
            <w:pPr>
              <w:pStyle w:val="TableParagraph"/>
              <w:spacing w:before="116"/>
              <w:jc w:val="center"/>
              <w:rPr>
                <w:sz w:val="20"/>
              </w:rPr>
            </w:pPr>
            <w:r>
              <w:rPr>
                <w:sz w:val="20"/>
              </w:rPr>
              <w:t>Korea</w:t>
            </w:r>
          </w:p>
        </w:tc>
        <w:tc>
          <w:tcPr>
            <w:tcW w:w="606" w:type="dxa"/>
            <w:tcBorders>
              <w:top w:val="single" w:sz="4" w:space="0" w:color="000000"/>
            </w:tcBorders>
          </w:tcPr>
          <w:p w14:paraId="60968676" w14:textId="77777777" w:rsidR="007367AC" w:rsidRDefault="007367AC" w:rsidP="002804A6">
            <w:pPr>
              <w:pStyle w:val="TableParagraph"/>
              <w:ind w:left="144" w:right="211"/>
              <w:jc w:val="right"/>
              <w:rPr>
                <w:sz w:val="20"/>
              </w:rPr>
            </w:pPr>
            <w:r>
              <w:rPr>
                <w:sz w:val="20"/>
              </w:rPr>
              <w:t>40</w:t>
            </w:r>
          </w:p>
        </w:tc>
        <w:tc>
          <w:tcPr>
            <w:tcW w:w="953" w:type="dxa"/>
            <w:tcBorders>
              <w:top w:val="single" w:sz="4" w:space="0" w:color="000000"/>
            </w:tcBorders>
          </w:tcPr>
          <w:p w14:paraId="09B14A91" w14:textId="77777777" w:rsidR="007367AC" w:rsidRDefault="007367AC" w:rsidP="002804A6">
            <w:pPr>
              <w:pStyle w:val="TableParagraph"/>
              <w:jc w:val="center"/>
              <w:rPr>
                <w:sz w:val="20"/>
              </w:rPr>
            </w:pPr>
            <w:r>
              <w:rPr>
                <w:sz w:val="20"/>
              </w:rPr>
              <w:t>University</w:t>
            </w:r>
          </w:p>
          <w:p w14:paraId="71864D27" w14:textId="77777777" w:rsidR="007367AC" w:rsidRDefault="007367AC" w:rsidP="002804A6">
            <w:pPr>
              <w:pStyle w:val="TableParagraph"/>
              <w:spacing w:before="116"/>
              <w:jc w:val="center"/>
              <w:rPr>
                <w:sz w:val="20"/>
              </w:rPr>
            </w:pPr>
            <w:r>
              <w:rPr>
                <w:sz w:val="20"/>
              </w:rPr>
              <w:t>Hospital</w:t>
            </w:r>
          </w:p>
        </w:tc>
        <w:tc>
          <w:tcPr>
            <w:tcW w:w="709" w:type="dxa"/>
            <w:tcBorders>
              <w:top w:val="single" w:sz="4" w:space="0" w:color="000000"/>
            </w:tcBorders>
          </w:tcPr>
          <w:p w14:paraId="484ABF03" w14:textId="77777777" w:rsidR="007367AC" w:rsidRDefault="007367AC" w:rsidP="002804A6">
            <w:pPr>
              <w:pStyle w:val="TableParagraph"/>
              <w:rPr>
                <w:sz w:val="20"/>
              </w:rPr>
            </w:pPr>
            <w:r>
              <w:rPr>
                <w:sz w:val="20"/>
              </w:rPr>
              <w:t>Single</w:t>
            </w:r>
          </w:p>
        </w:tc>
        <w:tc>
          <w:tcPr>
            <w:tcW w:w="709" w:type="dxa"/>
            <w:tcBorders>
              <w:top w:val="single" w:sz="4" w:space="0" w:color="000000"/>
            </w:tcBorders>
          </w:tcPr>
          <w:p w14:paraId="768EBB04" w14:textId="77777777" w:rsidR="007367AC" w:rsidRDefault="007367AC" w:rsidP="002804A6">
            <w:pPr>
              <w:pStyle w:val="TableParagraph"/>
              <w:ind w:left="-5" w:right="63"/>
              <w:jc w:val="center"/>
              <w:rPr>
                <w:sz w:val="20"/>
              </w:rPr>
            </w:pPr>
            <w:r>
              <w:rPr>
                <w:sz w:val="20"/>
              </w:rPr>
              <w:t>Parallel</w:t>
            </w:r>
          </w:p>
        </w:tc>
        <w:tc>
          <w:tcPr>
            <w:tcW w:w="992" w:type="dxa"/>
            <w:tcBorders>
              <w:top w:val="single" w:sz="4" w:space="0" w:color="000000"/>
            </w:tcBorders>
          </w:tcPr>
          <w:p w14:paraId="5CA97BFE" w14:textId="77777777" w:rsidR="007367AC" w:rsidRDefault="007367AC" w:rsidP="002804A6">
            <w:pPr>
              <w:pStyle w:val="TableParagraph"/>
              <w:ind w:right="544" w:firstLine="40"/>
              <w:jc w:val="center"/>
              <w:rPr>
                <w:sz w:val="20"/>
              </w:rPr>
            </w:pPr>
            <w:r>
              <w:rPr>
                <w:w w:val="99"/>
                <w:sz w:val="20"/>
              </w:rPr>
              <w:t>2</w:t>
            </w:r>
          </w:p>
        </w:tc>
        <w:tc>
          <w:tcPr>
            <w:tcW w:w="1134" w:type="dxa"/>
            <w:tcBorders>
              <w:top w:val="single" w:sz="4" w:space="0" w:color="000000"/>
            </w:tcBorders>
          </w:tcPr>
          <w:p w14:paraId="6D069CB5" w14:textId="77777777" w:rsidR="007367AC" w:rsidRDefault="007367AC" w:rsidP="002804A6">
            <w:pPr>
              <w:pStyle w:val="TableParagraph"/>
              <w:ind w:left="144" w:right="478"/>
              <w:jc w:val="right"/>
              <w:rPr>
                <w:sz w:val="20"/>
              </w:rPr>
            </w:pPr>
            <w:r>
              <w:rPr>
                <w:sz w:val="20"/>
              </w:rPr>
              <w:t>12</w:t>
            </w:r>
          </w:p>
        </w:tc>
        <w:tc>
          <w:tcPr>
            <w:tcW w:w="935" w:type="dxa"/>
            <w:tcBorders>
              <w:top w:val="single" w:sz="4" w:space="0" w:color="000000"/>
            </w:tcBorders>
          </w:tcPr>
          <w:p w14:paraId="31B6B900" w14:textId="77777777" w:rsidR="007367AC" w:rsidRPr="002804A6" w:rsidRDefault="007367AC" w:rsidP="002804A6">
            <w:pPr>
              <w:pStyle w:val="TableParagraph"/>
              <w:ind w:right="-54"/>
              <w:jc w:val="center"/>
              <w:rPr>
                <w:sz w:val="18"/>
                <w:szCs w:val="20"/>
              </w:rPr>
            </w:pPr>
            <w:r w:rsidRPr="002804A6">
              <w:rPr>
                <w:sz w:val="18"/>
                <w:szCs w:val="20"/>
              </w:rPr>
              <w:t>40</w:t>
            </w:r>
          </w:p>
        </w:tc>
        <w:tc>
          <w:tcPr>
            <w:tcW w:w="839" w:type="dxa"/>
            <w:tcBorders>
              <w:top w:val="single" w:sz="4" w:space="0" w:color="000000"/>
            </w:tcBorders>
          </w:tcPr>
          <w:p w14:paraId="49E4088B" w14:textId="77777777" w:rsidR="007367AC" w:rsidRPr="002804A6" w:rsidRDefault="007367AC" w:rsidP="002804A6">
            <w:pPr>
              <w:pStyle w:val="TableParagraph"/>
              <w:jc w:val="center"/>
              <w:rPr>
                <w:sz w:val="18"/>
                <w:szCs w:val="20"/>
              </w:rPr>
            </w:pPr>
            <w:r w:rsidRPr="002804A6">
              <w:rPr>
                <w:sz w:val="18"/>
                <w:szCs w:val="20"/>
              </w:rPr>
              <w:t>21.45</w:t>
            </w:r>
          </w:p>
        </w:tc>
        <w:tc>
          <w:tcPr>
            <w:tcW w:w="778" w:type="dxa"/>
            <w:tcBorders>
              <w:top w:val="single" w:sz="4" w:space="0" w:color="000000"/>
            </w:tcBorders>
          </w:tcPr>
          <w:p w14:paraId="4C28AAA4" w14:textId="77777777" w:rsidR="007367AC" w:rsidRDefault="007367AC" w:rsidP="002804A6">
            <w:pPr>
              <w:pStyle w:val="TableParagraph"/>
              <w:jc w:val="center"/>
              <w:rPr>
                <w:sz w:val="20"/>
              </w:rPr>
            </w:pPr>
            <w:r>
              <w:rPr>
                <w:sz w:val="20"/>
              </w:rPr>
              <w:t>NR</w:t>
            </w:r>
          </w:p>
        </w:tc>
        <w:tc>
          <w:tcPr>
            <w:tcW w:w="850" w:type="dxa"/>
            <w:tcBorders>
              <w:top w:val="single" w:sz="4" w:space="0" w:color="000000"/>
            </w:tcBorders>
          </w:tcPr>
          <w:p w14:paraId="4F272FDE" w14:textId="77777777" w:rsidR="007367AC" w:rsidRDefault="007367AC" w:rsidP="002804A6">
            <w:pPr>
              <w:pStyle w:val="TableParagraph"/>
              <w:ind w:right="34"/>
              <w:jc w:val="center"/>
              <w:rPr>
                <w:sz w:val="20"/>
              </w:rPr>
            </w:pPr>
            <w:r>
              <w:rPr>
                <w:sz w:val="20"/>
              </w:rPr>
              <w:t>56.4</w:t>
            </w:r>
          </w:p>
        </w:tc>
      </w:tr>
      <w:tr w:rsidR="007367AC" w14:paraId="35777406" w14:textId="77777777" w:rsidTr="002804A6">
        <w:trPr>
          <w:trHeight w:val="344"/>
          <w:jc w:val="center"/>
        </w:trPr>
        <w:tc>
          <w:tcPr>
            <w:tcW w:w="993" w:type="dxa"/>
          </w:tcPr>
          <w:p w14:paraId="7716423A" w14:textId="77777777" w:rsidR="007367AC" w:rsidRDefault="007367AC" w:rsidP="002804A6">
            <w:pPr>
              <w:pStyle w:val="TableParagraph"/>
              <w:spacing w:before="53"/>
              <w:ind w:left="144"/>
              <w:rPr>
                <w:sz w:val="20"/>
              </w:rPr>
            </w:pPr>
            <w:r>
              <w:rPr>
                <w:sz w:val="20"/>
              </w:rPr>
              <w:t>Yosef</w:t>
            </w:r>
            <w:r>
              <w:rPr>
                <w:spacing w:val="-2"/>
                <w:sz w:val="20"/>
              </w:rPr>
              <w:t xml:space="preserve"> </w:t>
            </w:r>
            <w:r>
              <w:rPr>
                <w:sz w:val="20"/>
              </w:rPr>
              <w:t>et al,</w:t>
            </w:r>
            <w:r>
              <w:rPr>
                <w:spacing w:val="-1"/>
                <w:sz w:val="20"/>
              </w:rPr>
              <w:t xml:space="preserve"> </w:t>
            </w:r>
            <w:r>
              <w:rPr>
                <w:sz w:val="20"/>
              </w:rPr>
              <w:t>2017</w:t>
            </w:r>
          </w:p>
        </w:tc>
        <w:tc>
          <w:tcPr>
            <w:tcW w:w="850" w:type="dxa"/>
          </w:tcPr>
          <w:p w14:paraId="2BF7A1E8" w14:textId="77777777" w:rsidR="007367AC" w:rsidRDefault="007367AC" w:rsidP="002804A6">
            <w:pPr>
              <w:pStyle w:val="TableParagraph"/>
              <w:spacing w:before="53"/>
              <w:jc w:val="center"/>
              <w:rPr>
                <w:sz w:val="20"/>
              </w:rPr>
            </w:pPr>
            <w:r>
              <w:rPr>
                <w:sz w:val="20"/>
              </w:rPr>
              <w:t>Egypt</w:t>
            </w:r>
          </w:p>
        </w:tc>
        <w:tc>
          <w:tcPr>
            <w:tcW w:w="606" w:type="dxa"/>
          </w:tcPr>
          <w:p w14:paraId="560B1E6B" w14:textId="77777777" w:rsidR="007367AC" w:rsidRDefault="007367AC" w:rsidP="002804A6">
            <w:pPr>
              <w:pStyle w:val="TableParagraph"/>
              <w:spacing w:before="53"/>
              <w:ind w:left="144" w:right="211"/>
              <w:jc w:val="right"/>
              <w:rPr>
                <w:sz w:val="20"/>
              </w:rPr>
            </w:pPr>
            <w:r>
              <w:rPr>
                <w:sz w:val="20"/>
              </w:rPr>
              <w:t>50</w:t>
            </w:r>
          </w:p>
        </w:tc>
        <w:tc>
          <w:tcPr>
            <w:tcW w:w="953" w:type="dxa"/>
          </w:tcPr>
          <w:p w14:paraId="039AC03F" w14:textId="77777777" w:rsidR="007367AC" w:rsidRDefault="007367AC" w:rsidP="002804A6">
            <w:pPr>
              <w:pStyle w:val="TableParagraph"/>
              <w:spacing w:before="53"/>
              <w:jc w:val="center"/>
              <w:rPr>
                <w:sz w:val="20"/>
              </w:rPr>
            </w:pPr>
            <w:r>
              <w:rPr>
                <w:sz w:val="20"/>
              </w:rPr>
              <w:t>Clinic</w:t>
            </w:r>
          </w:p>
        </w:tc>
        <w:tc>
          <w:tcPr>
            <w:tcW w:w="709" w:type="dxa"/>
          </w:tcPr>
          <w:p w14:paraId="62CDEE67" w14:textId="77777777" w:rsidR="007367AC" w:rsidRDefault="007367AC" w:rsidP="002804A6">
            <w:pPr>
              <w:pStyle w:val="TableParagraph"/>
              <w:spacing w:before="53"/>
              <w:rPr>
                <w:sz w:val="20"/>
              </w:rPr>
            </w:pPr>
            <w:r>
              <w:rPr>
                <w:sz w:val="20"/>
              </w:rPr>
              <w:t>Single</w:t>
            </w:r>
          </w:p>
        </w:tc>
        <w:tc>
          <w:tcPr>
            <w:tcW w:w="709" w:type="dxa"/>
          </w:tcPr>
          <w:p w14:paraId="113FC421" w14:textId="77777777" w:rsidR="007367AC" w:rsidRDefault="007367AC" w:rsidP="002804A6">
            <w:pPr>
              <w:pStyle w:val="TableParagraph"/>
              <w:spacing w:before="53"/>
              <w:ind w:left="-5" w:right="63"/>
              <w:jc w:val="center"/>
              <w:rPr>
                <w:sz w:val="20"/>
              </w:rPr>
            </w:pPr>
            <w:r>
              <w:rPr>
                <w:sz w:val="20"/>
              </w:rPr>
              <w:t>Parallel</w:t>
            </w:r>
          </w:p>
        </w:tc>
        <w:tc>
          <w:tcPr>
            <w:tcW w:w="992" w:type="dxa"/>
          </w:tcPr>
          <w:p w14:paraId="5653F03E" w14:textId="77777777" w:rsidR="007367AC" w:rsidRDefault="007367AC" w:rsidP="002804A6">
            <w:pPr>
              <w:pStyle w:val="TableParagraph"/>
              <w:spacing w:before="53"/>
              <w:ind w:right="544" w:firstLine="40"/>
              <w:jc w:val="center"/>
              <w:rPr>
                <w:sz w:val="20"/>
              </w:rPr>
            </w:pPr>
            <w:r>
              <w:rPr>
                <w:w w:val="99"/>
                <w:sz w:val="20"/>
              </w:rPr>
              <w:t>2</w:t>
            </w:r>
          </w:p>
        </w:tc>
        <w:tc>
          <w:tcPr>
            <w:tcW w:w="1134" w:type="dxa"/>
          </w:tcPr>
          <w:p w14:paraId="6D345496" w14:textId="77777777" w:rsidR="007367AC" w:rsidRDefault="007367AC" w:rsidP="002804A6">
            <w:pPr>
              <w:pStyle w:val="TableParagraph"/>
              <w:spacing w:before="53"/>
              <w:ind w:left="144" w:right="478"/>
              <w:jc w:val="right"/>
              <w:rPr>
                <w:sz w:val="20"/>
              </w:rPr>
            </w:pPr>
            <w:r>
              <w:rPr>
                <w:sz w:val="20"/>
              </w:rPr>
              <w:t>16</w:t>
            </w:r>
          </w:p>
        </w:tc>
        <w:tc>
          <w:tcPr>
            <w:tcW w:w="935" w:type="dxa"/>
          </w:tcPr>
          <w:p w14:paraId="0B9DE513" w14:textId="77777777" w:rsidR="007367AC" w:rsidRPr="002804A6" w:rsidRDefault="007367AC" w:rsidP="002804A6">
            <w:pPr>
              <w:pStyle w:val="TableParagraph"/>
              <w:spacing w:before="53"/>
              <w:ind w:right="-54"/>
              <w:jc w:val="center"/>
              <w:rPr>
                <w:sz w:val="18"/>
                <w:szCs w:val="20"/>
              </w:rPr>
            </w:pPr>
            <w:r w:rsidRPr="002804A6">
              <w:rPr>
                <w:sz w:val="18"/>
                <w:szCs w:val="20"/>
              </w:rPr>
              <w:t>NR</w:t>
            </w:r>
          </w:p>
        </w:tc>
        <w:tc>
          <w:tcPr>
            <w:tcW w:w="839" w:type="dxa"/>
          </w:tcPr>
          <w:p w14:paraId="4369B0A4" w14:textId="77777777" w:rsidR="007367AC" w:rsidRPr="002804A6" w:rsidRDefault="007367AC" w:rsidP="002804A6">
            <w:pPr>
              <w:pStyle w:val="TableParagraph"/>
              <w:spacing w:before="53"/>
              <w:jc w:val="center"/>
              <w:rPr>
                <w:sz w:val="18"/>
                <w:szCs w:val="20"/>
              </w:rPr>
            </w:pPr>
            <w:r w:rsidRPr="002804A6">
              <w:rPr>
                <w:sz w:val="18"/>
                <w:szCs w:val="20"/>
              </w:rPr>
              <w:t>19.34</w:t>
            </w:r>
          </w:p>
        </w:tc>
        <w:tc>
          <w:tcPr>
            <w:tcW w:w="778" w:type="dxa"/>
          </w:tcPr>
          <w:p w14:paraId="48AA59E5" w14:textId="77777777" w:rsidR="007367AC" w:rsidRDefault="007367AC" w:rsidP="002804A6">
            <w:pPr>
              <w:pStyle w:val="TableParagraph"/>
              <w:spacing w:before="53"/>
              <w:jc w:val="center"/>
              <w:rPr>
                <w:sz w:val="20"/>
              </w:rPr>
            </w:pPr>
            <w:r>
              <w:rPr>
                <w:sz w:val="20"/>
              </w:rPr>
              <w:t>23.64</w:t>
            </w:r>
          </w:p>
        </w:tc>
        <w:tc>
          <w:tcPr>
            <w:tcW w:w="850" w:type="dxa"/>
          </w:tcPr>
          <w:p w14:paraId="4A47899F" w14:textId="77777777" w:rsidR="007367AC" w:rsidRDefault="007367AC" w:rsidP="002804A6">
            <w:pPr>
              <w:pStyle w:val="TableParagraph"/>
              <w:spacing w:before="53"/>
              <w:ind w:right="34"/>
              <w:jc w:val="center"/>
              <w:rPr>
                <w:sz w:val="20"/>
              </w:rPr>
            </w:pPr>
            <w:r>
              <w:rPr>
                <w:sz w:val="20"/>
              </w:rPr>
              <w:t>39.96</w:t>
            </w:r>
          </w:p>
        </w:tc>
      </w:tr>
      <w:tr w:rsidR="007367AC" w14:paraId="6EFC21F4" w14:textId="77777777" w:rsidTr="002804A6">
        <w:trPr>
          <w:trHeight w:val="344"/>
          <w:jc w:val="center"/>
        </w:trPr>
        <w:tc>
          <w:tcPr>
            <w:tcW w:w="993" w:type="dxa"/>
          </w:tcPr>
          <w:p w14:paraId="42AAED29" w14:textId="77777777" w:rsidR="007367AC" w:rsidRDefault="007367AC" w:rsidP="002804A6">
            <w:pPr>
              <w:pStyle w:val="TableParagraph"/>
              <w:spacing w:before="52"/>
              <w:ind w:left="144"/>
              <w:rPr>
                <w:sz w:val="20"/>
              </w:rPr>
            </w:pPr>
            <w:r>
              <w:rPr>
                <w:sz w:val="20"/>
              </w:rPr>
              <w:t>Dhaher &amp;</w:t>
            </w:r>
            <w:r>
              <w:rPr>
                <w:spacing w:val="-3"/>
                <w:sz w:val="20"/>
              </w:rPr>
              <w:t xml:space="preserve"> </w:t>
            </w:r>
            <w:r>
              <w:rPr>
                <w:sz w:val="20"/>
              </w:rPr>
              <w:t>Jasim</w:t>
            </w:r>
            <w:r>
              <w:rPr>
                <w:spacing w:val="-2"/>
                <w:sz w:val="20"/>
              </w:rPr>
              <w:t xml:space="preserve"> </w:t>
            </w:r>
            <w:r>
              <w:rPr>
                <w:sz w:val="20"/>
              </w:rPr>
              <w:t>,</w:t>
            </w:r>
            <w:r>
              <w:rPr>
                <w:spacing w:val="-1"/>
                <w:sz w:val="20"/>
              </w:rPr>
              <w:t xml:space="preserve"> </w:t>
            </w:r>
            <w:r>
              <w:rPr>
                <w:sz w:val="20"/>
              </w:rPr>
              <w:t>2018</w:t>
            </w:r>
          </w:p>
        </w:tc>
        <w:tc>
          <w:tcPr>
            <w:tcW w:w="850" w:type="dxa"/>
          </w:tcPr>
          <w:p w14:paraId="325915B6" w14:textId="77777777" w:rsidR="007367AC" w:rsidRDefault="007367AC" w:rsidP="002804A6">
            <w:pPr>
              <w:pStyle w:val="TableParagraph"/>
              <w:spacing w:before="52"/>
              <w:jc w:val="center"/>
              <w:rPr>
                <w:sz w:val="20"/>
              </w:rPr>
            </w:pPr>
            <w:r>
              <w:rPr>
                <w:sz w:val="20"/>
              </w:rPr>
              <w:t>Iraq</w:t>
            </w:r>
          </w:p>
        </w:tc>
        <w:tc>
          <w:tcPr>
            <w:tcW w:w="606" w:type="dxa"/>
          </w:tcPr>
          <w:p w14:paraId="1EA2BC76" w14:textId="77777777" w:rsidR="007367AC" w:rsidRDefault="007367AC" w:rsidP="002804A6">
            <w:pPr>
              <w:pStyle w:val="TableParagraph"/>
              <w:spacing w:before="52"/>
              <w:ind w:left="144" w:right="211"/>
              <w:jc w:val="right"/>
              <w:rPr>
                <w:sz w:val="20"/>
              </w:rPr>
            </w:pPr>
            <w:r>
              <w:rPr>
                <w:sz w:val="20"/>
              </w:rPr>
              <w:t>76</w:t>
            </w:r>
          </w:p>
        </w:tc>
        <w:tc>
          <w:tcPr>
            <w:tcW w:w="953" w:type="dxa"/>
          </w:tcPr>
          <w:p w14:paraId="6424D06F" w14:textId="77777777" w:rsidR="007367AC" w:rsidRDefault="007367AC" w:rsidP="002804A6">
            <w:pPr>
              <w:pStyle w:val="TableParagraph"/>
              <w:spacing w:before="52"/>
              <w:jc w:val="center"/>
              <w:rPr>
                <w:sz w:val="20"/>
              </w:rPr>
            </w:pPr>
            <w:r>
              <w:rPr>
                <w:sz w:val="20"/>
              </w:rPr>
              <w:t>Clinic</w:t>
            </w:r>
          </w:p>
        </w:tc>
        <w:tc>
          <w:tcPr>
            <w:tcW w:w="709" w:type="dxa"/>
          </w:tcPr>
          <w:p w14:paraId="735D1CCB" w14:textId="77777777" w:rsidR="007367AC" w:rsidRDefault="007367AC" w:rsidP="002804A6">
            <w:pPr>
              <w:pStyle w:val="TableParagraph"/>
              <w:spacing w:before="52"/>
              <w:rPr>
                <w:sz w:val="20"/>
              </w:rPr>
            </w:pPr>
            <w:r>
              <w:rPr>
                <w:sz w:val="20"/>
              </w:rPr>
              <w:t>Single</w:t>
            </w:r>
          </w:p>
        </w:tc>
        <w:tc>
          <w:tcPr>
            <w:tcW w:w="709" w:type="dxa"/>
          </w:tcPr>
          <w:p w14:paraId="56269C38" w14:textId="77777777" w:rsidR="007367AC" w:rsidRDefault="007367AC" w:rsidP="002804A6">
            <w:pPr>
              <w:pStyle w:val="TableParagraph"/>
              <w:spacing w:before="52"/>
              <w:ind w:left="-5" w:right="63"/>
              <w:jc w:val="center"/>
              <w:rPr>
                <w:sz w:val="20"/>
              </w:rPr>
            </w:pPr>
            <w:r>
              <w:rPr>
                <w:sz w:val="20"/>
              </w:rPr>
              <w:t>Parallel</w:t>
            </w:r>
          </w:p>
        </w:tc>
        <w:tc>
          <w:tcPr>
            <w:tcW w:w="992" w:type="dxa"/>
          </w:tcPr>
          <w:p w14:paraId="2243EF94" w14:textId="77777777" w:rsidR="007367AC" w:rsidRDefault="007367AC" w:rsidP="002804A6">
            <w:pPr>
              <w:pStyle w:val="TableParagraph"/>
              <w:spacing w:before="52"/>
              <w:ind w:right="544" w:firstLine="40"/>
              <w:jc w:val="center"/>
              <w:rPr>
                <w:sz w:val="20"/>
              </w:rPr>
            </w:pPr>
            <w:r>
              <w:rPr>
                <w:w w:val="99"/>
                <w:sz w:val="20"/>
              </w:rPr>
              <w:t>2</w:t>
            </w:r>
          </w:p>
        </w:tc>
        <w:tc>
          <w:tcPr>
            <w:tcW w:w="1134" w:type="dxa"/>
          </w:tcPr>
          <w:p w14:paraId="234AD570" w14:textId="77777777" w:rsidR="007367AC" w:rsidRDefault="007367AC" w:rsidP="002804A6">
            <w:pPr>
              <w:pStyle w:val="TableParagraph"/>
              <w:spacing w:before="52"/>
              <w:ind w:left="144" w:right="478"/>
              <w:jc w:val="right"/>
              <w:rPr>
                <w:sz w:val="20"/>
              </w:rPr>
            </w:pPr>
            <w:r>
              <w:rPr>
                <w:sz w:val="20"/>
              </w:rPr>
              <w:t>12</w:t>
            </w:r>
          </w:p>
        </w:tc>
        <w:tc>
          <w:tcPr>
            <w:tcW w:w="935" w:type="dxa"/>
          </w:tcPr>
          <w:p w14:paraId="08EAE6E8" w14:textId="77777777" w:rsidR="007367AC" w:rsidRPr="002804A6" w:rsidRDefault="007367AC" w:rsidP="002804A6">
            <w:pPr>
              <w:pStyle w:val="TableParagraph"/>
              <w:spacing w:before="52"/>
              <w:ind w:right="-54"/>
              <w:jc w:val="center"/>
              <w:rPr>
                <w:sz w:val="18"/>
                <w:szCs w:val="20"/>
              </w:rPr>
            </w:pPr>
            <w:r w:rsidRPr="002804A6">
              <w:rPr>
                <w:sz w:val="18"/>
                <w:szCs w:val="20"/>
              </w:rPr>
              <w:t>42.21</w:t>
            </w:r>
          </w:p>
        </w:tc>
        <w:tc>
          <w:tcPr>
            <w:tcW w:w="839" w:type="dxa"/>
          </w:tcPr>
          <w:p w14:paraId="36A9151E" w14:textId="77777777" w:rsidR="007367AC" w:rsidRPr="002804A6" w:rsidRDefault="007367AC" w:rsidP="002804A6">
            <w:pPr>
              <w:pStyle w:val="TableParagraph"/>
              <w:spacing w:before="52"/>
              <w:jc w:val="center"/>
              <w:rPr>
                <w:sz w:val="18"/>
                <w:szCs w:val="20"/>
              </w:rPr>
            </w:pPr>
            <w:r w:rsidRPr="002804A6">
              <w:rPr>
                <w:sz w:val="18"/>
                <w:szCs w:val="20"/>
              </w:rPr>
              <w:t>19</w:t>
            </w:r>
          </w:p>
        </w:tc>
        <w:tc>
          <w:tcPr>
            <w:tcW w:w="778" w:type="dxa"/>
          </w:tcPr>
          <w:p w14:paraId="0F9BFAA4" w14:textId="77777777" w:rsidR="007367AC" w:rsidRDefault="007367AC" w:rsidP="002804A6">
            <w:pPr>
              <w:pStyle w:val="TableParagraph"/>
              <w:spacing w:before="52"/>
              <w:jc w:val="center"/>
              <w:rPr>
                <w:sz w:val="20"/>
              </w:rPr>
            </w:pPr>
            <w:r>
              <w:rPr>
                <w:sz w:val="20"/>
              </w:rPr>
              <w:t>NR</w:t>
            </w:r>
          </w:p>
        </w:tc>
        <w:tc>
          <w:tcPr>
            <w:tcW w:w="850" w:type="dxa"/>
          </w:tcPr>
          <w:p w14:paraId="6DEB17C7" w14:textId="77777777" w:rsidR="007367AC" w:rsidRDefault="007367AC" w:rsidP="002804A6">
            <w:pPr>
              <w:pStyle w:val="TableParagraph"/>
              <w:spacing w:before="52"/>
              <w:ind w:right="34"/>
              <w:jc w:val="center"/>
              <w:rPr>
                <w:sz w:val="20"/>
              </w:rPr>
            </w:pPr>
            <w:r>
              <w:rPr>
                <w:sz w:val="20"/>
              </w:rPr>
              <w:t>25.5</w:t>
            </w:r>
          </w:p>
        </w:tc>
      </w:tr>
      <w:tr w:rsidR="007367AC" w14:paraId="14BE6665" w14:textId="77777777" w:rsidTr="002804A6">
        <w:trPr>
          <w:trHeight w:val="345"/>
          <w:jc w:val="center"/>
        </w:trPr>
        <w:tc>
          <w:tcPr>
            <w:tcW w:w="993" w:type="dxa"/>
          </w:tcPr>
          <w:p w14:paraId="59AF86CC" w14:textId="77777777" w:rsidR="007367AC" w:rsidRDefault="007367AC" w:rsidP="002804A6">
            <w:pPr>
              <w:pStyle w:val="TableParagraph"/>
              <w:spacing w:before="53"/>
              <w:ind w:left="144"/>
              <w:rPr>
                <w:sz w:val="20"/>
              </w:rPr>
            </w:pPr>
            <w:r>
              <w:rPr>
                <w:sz w:val="20"/>
              </w:rPr>
              <w:t>Pandey</w:t>
            </w:r>
            <w:r>
              <w:rPr>
                <w:spacing w:val="-3"/>
                <w:sz w:val="20"/>
              </w:rPr>
              <w:t xml:space="preserve"> </w:t>
            </w:r>
            <w:r>
              <w:rPr>
                <w:sz w:val="20"/>
              </w:rPr>
              <w:t>&amp; Agrawal</w:t>
            </w:r>
            <w:r>
              <w:rPr>
                <w:spacing w:val="1"/>
                <w:sz w:val="20"/>
              </w:rPr>
              <w:t xml:space="preserve"> </w:t>
            </w:r>
            <w:r>
              <w:rPr>
                <w:sz w:val="20"/>
              </w:rPr>
              <w:t>,</w:t>
            </w:r>
            <w:r>
              <w:rPr>
                <w:spacing w:val="-1"/>
                <w:sz w:val="20"/>
              </w:rPr>
              <w:t xml:space="preserve"> </w:t>
            </w:r>
            <w:r>
              <w:rPr>
                <w:sz w:val="20"/>
              </w:rPr>
              <w:t>2019</w:t>
            </w:r>
          </w:p>
        </w:tc>
        <w:tc>
          <w:tcPr>
            <w:tcW w:w="850" w:type="dxa"/>
          </w:tcPr>
          <w:p w14:paraId="3DD3355F" w14:textId="77777777" w:rsidR="007367AC" w:rsidRDefault="007367AC" w:rsidP="002804A6">
            <w:pPr>
              <w:pStyle w:val="TableParagraph"/>
              <w:spacing w:before="53"/>
              <w:jc w:val="center"/>
              <w:rPr>
                <w:sz w:val="20"/>
              </w:rPr>
            </w:pPr>
            <w:r>
              <w:rPr>
                <w:sz w:val="20"/>
              </w:rPr>
              <w:t>Nepal</w:t>
            </w:r>
          </w:p>
        </w:tc>
        <w:tc>
          <w:tcPr>
            <w:tcW w:w="606" w:type="dxa"/>
          </w:tcPr>
          <w:p w14:paraId="6AB3619D" w14:textId="77777777" w:rsidR="007367AC" w:rsidRDefault="007367AC" w:rsidP="002804A6">
            <w:pPr>
              <w:pStyle w:val="TableParagraph"/>
              <w:spacing w:before="53"/>
              <w:ind w:left="144" w:right="161"/>
              <w:jc w:val="right"/>
              <w:rPr>
                <w:sz w:val="20"/>
              </w:rPr>
            </w:pPr>
            <w:r>
              <w:rPr>
                <w:sz w:val="20"/>
              </w:rPr>
              <w:t>100</w:t>
            </w:r>
          </w:p>
        </w:tc>
        <w:tc>
          <w:tcPr>
            <w:tcW w:w="953" w:type="dxa"/>
          </w:tcPr>
          <w:p w14:paraId="7EB4B7A5" w14:textId="77777777" w:rsidR="007367AC" w:rsidRDefault="007367AC" w:rsidP="002804A6">
            <w:pPr>
              <w:pStyle w:val="TableParagraph"/>
              <w:spacing w:before="53"/>
              <w:jc w:val="center"/>
              <w:rPr>
                <w:sz w:val="20"/>
              </w:rPr>
            </w:pPr>
            <w:r>
              <w:rPr>
                <w:sz w:val="20"/>
              </w:rPr>
              <w:t>Clinic</w:t>
            </w:r>
          </w:p>
        </w:tc>
        <w:tc>
          <w:tcPr>
            <w:tcW w:w="709" w:type="dxa"/>
          </w:tcPr>
          <w:p w14:paraId="75F63F8E" w14:textId="77777777" w:rsidR="007367AC" w:rsidRDefault="007367AC" w:rsidP="002804A6">
            <w:pPr>
              <w:pStyle w:val="TableParagraph"/>
              <w:spacing w:before="53"/>
              <w:rPr>
                <w:sz w:val="20"/>
              </w:rPr>
            </w:pPr>
            <w:r>
              <w:rPr>
                <w:sz w:val="20"/>
              </w:rPr>
              <w:t>Single</w:t>
            </w:r>
          </w:p>
        </w:tc>
        <w:tc>
          <w:tcPr>
            <w:tcW w:w="709" w:type="dxa"/>
          </w:tcPr>
          <w:p w14:paraId="02F12C4A" w14:textId="77777777" w:rsidR="007367AC" w:rsidRDefault="007367AC" w:rsidP="002804A6">
            <w:pPr>
              <w:pStyle w:val="TableParagraph"/>
              <w:spacing w:before="53"/>
              <w:ind w:left="-5" w:right="63"/>
              <w:jc w:val="center"/>
              <w:rPr>
                <w:sz w:val="20"/>
              </w:rPr>
            </w:pPr>
            <w:r>
              <w:rPr>
                <w:sz w:val="20"/>
              </w:rPr>
              <w:t>Parallel</w:t>
            </w:r>
          </w:p>
        </w:tc>
        <w:tc>
          <w:tcPr>
            <w:tcW w:w="992" w:type="dxa"/>
          </w:tcPr>
          <w:p w14:paraId="793CD68A" w14:textId="77777777" w:rsidR="007367AC" w:rsidRDefault="007367AC" w:rsidP="002804A6">
            <w:pPr>
              <w:pStyle w:val="TableParagraph"/>
              <w:spacing w:before="53"/>
              <w:ind w:right="544" w:firstLine="40"/>
              <w:jc w:val="center"/>
              <w:rPr>
                <w:sz w:val="20"/>
              </w:rPr>
            </w:pPr>
            <w:r>
              <w:rPr>
                <w:w w:val="99"/>
                <w:sz w:val="20"/>
              </w:rPr>
              <w:t>2</w:t>
            </w:r>
          </w:p>
        </w:tc>
        <w:tc>
          <w:tcPr>
            <w:tcW w:w="1134" w:type="dxa"/>
          </w:tcPr>
          <w:p w14:paraId="2DFF6D2A" w14:textId="77777777" w:rsidR="007367AC" w:rsidRDefault="007367AC" w:rsidP="002804A6">
            <w:pPr>
              <w:pStyle w:val="TableParagraph"/>
              <w:spacing w:before="53"/>
              <w:ind w:left="144" w:right="478"/>
              <w:jc w:val="right"/>
              <w:rPr>
                <w:sz w:val="20"/>
              </w:rPr>
            </w:pPr>
            <w:r>
              <w:rPr>
                <w:sz w:val="20"/>
              </w:rPr>
              <w:t>12</w:t>
            </w:r>
          </w:p>
        </w:tc>
        <w:tc>
          <w:tcPr>
            <w:tcW w:w="935" w:type="dxa"/>
          </w:tcPr>
          <w:p w14:paraId="3B0BA692" w14:textId="77777777" w:rsidR="007367AC" w:rsidRPr="002804A6" w:rsidRDefault="007367AC" w:rsidP="002804A6">
            <w:pPr>
              <w:pStyle w:val="TableParagraph"/>
              <w:spacing w:before="53"/>
              <w:ind w:right="-54"/>
              <w:jc w:val="center"/>
              <w:rPr>
                <w:sz w:val="18"/>
                <w:szCs w:val="20"/>
              </w:rPr>
            </w:pPr>
            <w:r w:rsidRPr="002804A6">
              <w:rPr>
                <w:sz w:val="18"/>
                <w:szCs w:val="20"/>
              </w:rPr>
              <w:t>34</w:t>
            </w:r>
          </w:p>
        </w:tc>
        <w:tc>
          <w:tcPr>
            <w:tcW w:w="839" w:type="dxa"/>
          </w:tcPr>
          <w:p w14:paraId="4901FF5D" w14:textId="77777777" w:rsidR="007367AC" w:rsidRPr="002804A6" w:rsidRDefault="007367AC" w:rsidP="002804A6">
            <w:pPr>
              <w:pStyle w:val="TableParagraph"/>
              <w:spacing w:before="53"/>
              <w:jc w:val="center"/>
              <w:rPr>
                <w:sz w:val="18"/>
                <w:szCs w:val="20"/>
              </w:rPr>
            </w:pPr>
            <w:r w:rsidRPr="002804A6">
              <w:rPr>
                <w:sz w:val="18"/>
                <w:szCs w:val="20"/>
              </w:rPr>
              <w:t>21.67</w:t>
            </w:r>
          </w:p>
        </w:tc>
        <w:tc>
          <w:tcPr>
            <w:tcW w:w="778" w:type="dxa"/>
          </w:tcPr>
          <w:p w14:paraId="6CAE61D5" w14:textId="77777777" w:rsidR="007367AC" w:rsidRDefault="007367AC" w:rsidP="002804A6">
            <w:pPr>
              <w:pStyle w:val="TableParagraph"/>
              <w:spacing w:before="53"/>
              <w:jc w:val="center"/>
              <w:rPr>
                <w:sz w:val="20"/>
              </w:rPr>
            </w:pPr>
            <w:r>
              <w:rPr>
                <w:sz w:val="20"/>
              </w:rPr>
              <w:t>NR</w:t>
            </w:r>
          </w:p>
        </w:tc>
        <w:tc>
          <w:tcPr>
            <w:tcW w:w="850" w:type="dxa"/>
          </w:tcPr>
          <w:p w14:paraId="78EC1A6B" w14:textId="77777777" w:rsidR="007367AC" w:rsidRDefault="007367AC" w:rsidP="002804A6">
            <w:pPr>
              <w:pStyle w:val="TableParagraph"/>
              <w:spacing w:before="53"/>
              <w:ind w:right="34"/>
              <w:jc w:val="center"/>
              <w:rPr>
                <w:sz w:val="20"/>
              </w:rPr>
            </w:pPr>
            <w:r>
              <w:rPr>
                <w:sz w:val="20"/>
              </w:rPr>
              <w:t>34.8</w:t>
            </w:r>
          </w:p>
        </w:tc>
      </w:tr>
      <w:tr w:rsidR="007367AC" w14:paraId="3C1F8DC3" w14:textId="77777777" w:rsidTr="002804A6">
        <w:trPr>
          <w:trHeight w:val="345"/>
          <w:jc w:val="center"/>
        </w:trPr>
        <w:tc>
          <w:tcPr>
            <w:tcW w:w="993" w:type="dxa"/>
          </w:tcPr>
          <w:p w14:paraId="676AFD57" w14:textId="77777777" w:rsidR="007367AC" w:rsidRDefault="007367AC" w:rsidP="002804A6">
            <w:pPr>
              <w:pStyle w:val="TableParagraph"/>
              <w:spacing w:before="53"/>
              <w:ind w:left="144"/>
              <w:rPr>
                <w:sz w:val="20"/>
              </w:rPr>
            </w:pPr>
            <w:r>
              <w:rPr>
                <w:sz w:val="20"/>
              </w:rPr>
              <w:t>Van</w:t>
            </w:r>
            <w:r>
              <w:rPr>
                <w:spacing w:val="-2"/>
                <w:sz w:val="20"/>
              </w:rPr>
              <w:t xml:space="preserve"> </w:t>
            </w:r>
            <w:r>
              <w:rPr>
                <w:sz w:val="20"/>
              </w:rPr>
              <w:t>Thai, 2019</w:t>
            </w:r>
          </w:p>
        </w:tc>
        <w:tc>
          <w:tcPr>
            <w:tcW w:w="850" w:type="dxa"/>
          </w:tcPr>
          <w:p w14:paraId="0E85EBD8" w14:textId="77777777" w:rsidR="007367AC" w:rsidRDefault="007367AC" w:rsidP="002804A6">
            <w:pPr>
              <w:pStyle w:val="TableParagraph"/>
              <w:spacing w:before="53"/>
              <w:jc w:val="center"/>
              <w:rPr>
                <w:sz w:val="20"/>
              </w:rPr>
            </w:pPr>
            <w:r>
              <w:rPr>
                <w:sz w:val="20"/>
              </w:rPr>
              <w:t>Vietnam</w:t>
            </w:r>
          </w:p>
        </w:tc>
        <w:tc>
          <w:tcPr>
            <w:tcW w:w="606" w:type="dxa"/>
          </w:tcPr>
          <w:p w14:paraId="42B56CE6" w14:textId="77777777" w:rsidR="007367AC" w:rsidRDefault="007367AC" w:rsidP="002804A6">
            <w:pPr>
              <w:pStyle w:val="TableParagraph"/>
              <w:spacing w:before="53"/>
              <w:ind w:left="144" w:right="211"/>
              <w:jc w:val="right"/>
              <w:rPr>
                <w:sz w:val="20"/>
              </w:rPr>
            </w:pPr>
            <w:r>
              <w:rPr>
                <w:sz w:val="20"/>
              </w:rPr>
              <w:t>60</w:t>
            </w:r>
          </w:p>
        </w:tc>
        <w:tc>
          <w:tcPr>
            <w:tcW w:w="953" w:type="dxa"/>
          </w:tcPr>
          <w:p w14:paraId="451F8C92" w14:textId="77777777" w:rsidR="007367AC" w:rsidRDefault="007367AC" w:rsidP="002804A6">
            <w:pPr>
              <w:pStyle w:val="TableParagraph"/>
              <w:spacing w:before="53"/>
              <w:jc w:val="center"/>
              <w:rPr>
                <w:sz w:val="20"/>
              </w:rPr>
            </w:pPr>
            <w:r>
              <w:rPr>
                <w:sz w:val="20"/>
              </w:rPr>
              <w:t>Clinic</w:t>
            </w:r>
          </w:p>
        </w:tc>
        <w:tc>
          <w:tcPr>
            <w:tcW w:w="709" w:type="dxa"/>
          </w:tcPr>
          <w:p w14:paraId="66608EC9" w14:textId="77777777" w:rsidR="007367AC" w:rsidRDefault="007367AC" w:rsidP="002804A6">
            <w:pPr>
              <w:pStyle w:val="TableParagraph"/>
              <w:spacing w:before="53"/>
              <w:rPr>
                <w:sz w:val="20"/>
              </w:rPr>
            </w:pPr>
            <w:r>
              <w:rPr>
                <w:sz w:val="20"/>
              </w:rPr>
              <w:t>Single</w:t>
            </w:r>
          </w:p>
        </w:tc>
        <w:tc>
          <w:tcPr>
            <w:tcW w:w="709" w:type="dxa"/>
          </w:tcPr>
          <w:p w14:paraId="21529561" w14:textId="77777777" w:rsidR="007367AC" w:rsidRDefault="007367AC" w:rsidP="002804A6">
            <w:pPr>
              <w:pStyle w:val="TableParagraph"/>
              <w:spacing w:before="53"/>
              <w:ind w:left="-5" w:right="63"/>
              <w:jc w:val="center"/>
              <w:rPr>
                <w:sz w:val="20"/>
              </w:rPr>
            </w:pPr>
            <w:r>
              <w:rPr>
                <w:sz w:val="20"/>
              </w:rPr>
              <w:t>Parallel</w:t>
            </w:r>
          </w:p>
        </w:tc>
        <w:tc>
          <w:tcPr>
            <w:tcW w:w="992" w:type="dxa"/>
          </w:tcPr>
          <w:p w14:paraId="78397457" w14:textId="77777777" w:rsidR="007367AC" w:rsidRDefault="007367AC" w:rsidP="002804A6">
            <w:pPr>
              <w:pStyle w:val="TableParagraph"/>
              <w:spacing w:before="53"/>
              <w:ind w:right="544" w:firstLine="40"/>
              <w:jc w:val="center"/>
              <w:rPr>
                <w:sz w:val="20"/>
              </w:rPr>
            </w:pPr>
            <w:r>
              <w:rPr>
                <w:w w:val="99"/>
                <w:sz w:val="20"/>
              </w:rPr>
              <w:t>2</w:t>
            </w:r>
          </w:p>
        </w:tc>
        <w:tc>
          <w:tcPr>
            <w:tcW w:w="1134" w:type="dxa"/>
          </w:tcPr>
          <w:p w14:paraId="4F312018" w14:textId="77777777" w:rsidR="007367AC" w:rsidRDefault="007367AC" w:rsidP="002804A6">
            <w:pPr>
              <w:pStyle w:val="TableParagraph"/>
              <w:spacing w:before="53"/>
              <w:ind w:left="144" w:right="478"/>
              <w:jc w:val="right"/>
              <w:rPr>
                <w:sz w:val="20"/>
              </w:rPr>
            </w:pPr>
            <w:r>
              <w:rPr>
                <w:sz w:val="20"/>
              </w:rPr>
              <w:t>12</w:t>
            </w:r>
          </w:p>
        </w:tc>
        <w:tc>
          <w:tcPr>
            <w:tcW w:w="935" w:type="dxa"/>
          </w:tcPr>
          <w:p w14:paraId="2AA9278A" w14:textId="77777777" w:rsidR="007367AC" w:rsidRPr="002804A6" w:rsidRDefault="007367AC" w:rsidP="002804A6">
            <w:pPr>
              <w:pStyle w:val="TableParagraph"/>
              <w:spacing w:before="53"/>
              <w:ind w:right="-54"/>
              <w:jc w:val="center"/>
              <w:rPr>
                <w:sz w:val="18"/>
                <w:szCs w:val="20"/>
              </w:rPr>
            </w:pPr>
            <w:r w:rsidRPr="002804A6">
              <w:rPr>
                <w:sz w:val="18"/>
                <w:szCs w:val="20"/>
              </w:rPr>
              <w:t>63.3</w:t>
            </w:r>
          </w:p>
        </w:tc>
        <w:tc>
          <w:tcPr>
            <w:tcW w:w="839" w:type="dxa"/>
          </w:tcPr>
          <w:p w14:paraId="365EA569" w14:textId="77777777" w:rsidR="007367AC" w:rsidRPr="002804A6" w:rsidRDefault="007367AC" w:rsidP="002804A6">
            <w:pPr>
              <w:pStyle w:val="TableParagraph"/>
              <w:spacing w:before="53"/>
              <w:jc w:val="center"/>
              <w:rPr>
                <w:sz w:val="18"/>
                <w:szCs w:val="20"/>
              </w:rPr>
            </w:pPr>
            <w:r w:rsidRPr="002804A6">
              <w:rPr>
                <w:sz w:val="18"/>
                <w:szCs w:val="20"/>
              </w:rPr>
              <w:t>22.35</w:t>
            </w:r>
          </w:p>
        </w:tc>
        <w:tc>
          <w:tcPr>
            <w:tcW w:w="778" w:type="dxa"/>
          </w:tcPr>
          <w:p w14:paraId="67FC8389" w14:textId="77777777" w:rsidR="007367AC" w:rsidRDefault="007367AC" w:rsidP="002804A6">
            <w:pPr>
              <w:pStyle w:val="TableParagraph"/>
              <w:spacing w:before="53"/>
              <w:jc w:val="center"/>
              <w:rPr>
                <w:sz w:val="20"/>
              </w:rPr>
            </w:pPr>
            <w:r>
              <w:rPr>
                <w:sz w:val="20"/>
              </w:rPr>
              <w:t>20.35</w:t>
            </w:r>
          </w:p>
        </w:tc>
        <w:tc>
          <w:tcPr>
            <w:tcW w:w="850" w:type="dxa"/>
          </w:tcPr>
          <w:p w14:paraId="5D4F092B" w14:textId="77777777" w:rsidR="007367AC" w:rsidRDefault="007367AC" w:rsidP="002804A6">
            <w:pPr>
              <w:pStyle w:val="TableParagraph"/>
              <w:spacing w:before="53"/>
              <w:ind w:right="34"/>
              <w:jc w:val="center"/>
              <w:rPr>
                <w:sz w:val="20"/>
              </w:rPr>
            </w:pPr>
            <w:r>
              <w:rPr>
                <w:sz w:val="20"/>
              </w:rPr>
              <w:t>27</w:t>
            </w:r>
          </w:p>
        </w:tc>
      </w:tr>
      <w:tr w:rsidR="007367AC" w14:paraId="174FB280" w14:textId="77777777" w:rsidTr="002804A6">
        <w:trPr>
          <w:trHeight w:val="398"/>
          <w:jc w:val="center"/>
        </w:trPr>
        <w:tc>
          <w:tcPr>
            <w:tcW w:w="993" w:type="dxa"/>
            <w:tcBorders>
              <w:bottom w:val="single" w:sz="4" w:space="0" w:color="000000"/>
            </w:tcBorders>
          </w:tcPr>
          <w:p w14:paraId="218E5532" w14:textId="77777777" w:rsidR="007367AC" w:rsidRDefault="007367AC" w:rsidP="002804A6">
            <w:pPr>
              <w:pStyle w:val="TableParagraph"/>
              <w:spacing w:before="53"/>
              <w:ind w:left="144"/>
              <w:rPr>
                <w:sz w:val="20"/>
              </w:rPr>
            </w:pPr>
            <w:r>
              <w:rPr>
                <w:sz w:val="20"/>
              </w:rPr>
              <w:t>Van</w:t>
            </w:r>
            <w:r>
              <w:rPr>
                <w:spacing w:val="-3"/>
                <w:sz w:val="20"/>
              </w:rPr>
              <w:t xml:space="preserve"> </w:t>
            </w:r>
            <w:r>
              <w:rPr>
                <w:sz w:val="20"/>
              </w:rPr>
              <w:t>Thuong,</w:t>
            </w:r>
            <w:r>
              <w:rPr>
                <w:spacing w:val="-1"/>
                <w:sz w:val="20"/>
              </w:rPr>
              <w:t xml:space="preserve"> </w:t>
            </w:r>
            <w:r>
              <w:rPr>
                <w:sz w:val="20"/>
              </w:rPr>
              <w:t>2019</w:t>
            </w:r>
          </w:p>
        </w:tc>
        <w:tc>
          <w:tcPr>
            <w:tcW w:w="850" w:type="dxa"/>
            <w:tcBorders>
              <w:bottom w:val="single" w:sz="4" w:space="0" w:color="000000"/>
            </w:tcBorders>
          </w:tcPr>
          <w:p w14:paraId="6C673375" w14:textId="77777777" w:rsidR="007367AC" w:rsidRDefault="007367AC" w:rsidP="002804A6">
            <w:pPr>
              <w:pStyle w:val="TableParagraph"/>
              <w:spacing w:before="53"/>
              <w:jc w:val="center"/>
              <w:rPr>
                <w:sz w:val="20"/>
              </w:rPr>
            </w:pPr>
            <w:r>
              <w:rPr>
                <w:sz w:val="20"/>
              </w:rPr>
              <w:t>Vietnam</w:t>
            </w:r>
          </w:p>
        </w:tc>
        <w:tc>
          <w:tcPr>
            <w:tcW w:w="606" w:type="dxa"/>
            <w:tcBorders>
              <w:bottom w:val="single" w:sz="4" w:space="0" w:color="000000"/>
            </w:tcBorders>
          </w:tcPr>
          <w:p w14:paraId="4E2DF69B" w14:textId="77777777" w:rsidR="007367AC" w:rsidRDefault="007367AC" w:rsidP="002804A6">
            <w:pPr>
              <w:pStyle w:val="TableParagraph"/>
              <w:spacing w:before="53"/>
              <w:ind w:left="144" w:right="211"/>
              <w:jc w:val="right"/>
              <w:rPr>
                <w:sz w:val="20"/>
              </w:rPr>
            </w:pPr>
            <w:r>
              <w:rPr>
                <w:sz w:val="20"/>
              </w:rPr>
              <w:t>62</w:t>
            </w:r>
          </w:p>
        </w:tc>
        <w:tc>
          <w:tcPr>
            <w:tcW w:w="953" w:type="dxa"/>
            <w:tcBorders>
              <w:bottom w:val="single" w:sz="4" w:space="0" w:color="000000"/>
            </w:tcBorders>
          </w:tcPr>
          <w:p w14:paraId="545A6FC0" w14:textId="77777777" w:rsidR="007367AC" w:rsidRDefault="007367AC" w:rsidP="002804A6">
            <w:pPr>
              <w:pStyle w:val="TableParagraph"/>
              <w:spacing w:before="53"/>
              <w:jc w:val="center"/>
              <w:rPr>
                <w:sz w:val="20"/>
              </w:rPr>
            </w:pPr>
            <w:r>
              <w:rPr>
                <w:sz w:val="20"/>
              </w:rPr>
              <w:t>Clinic</w:t>
            </w:r>
          </w:p>
        </w:tc>
        <w:tc>
          <w:tcPr>
            <w:tcW w:w="709" w:type="dxa"/>
            <w:tcBorders>
              <w:bottom w:val="single" w:sz="4" w:space="0" w:color="000000"/>
            </w:tcBorders>
          </w:tcPr>
          <w:p w14:paraId="2C7DF19E" w14:textId="77777777" w:rsidR="007367AC" w:rsidRDefault="007367AC" w:rsidP="002804A6">
            <w:pPr>
              <w:pStyle w:val="TableParagraph"/>
              <w:spacing w:before="53"/>
              <w:rPr>
                <w:sz w:val="20"/>
              </w:rPr>
            </w:pPr>
            <w:r>
              <w:rPr>
                <w:sz w:val="20"/>
              </w:rPr>
              <w:t>Single</w:t>
            </w:r>
          </w:p>
        </w:tc>
        <w:tc>
          <w:tcPr>
            <w:tcW w:w="709" w:type="dxa"/>
            <w:tcBorders>
              <w:bottom w:val="single" w:sz="4" w:space="0" w:color="000000"/>
            </w:tcBorders>
          </w:tcPr>
          <w:p w14:paraId="76AAFE35" w14:textId="77777777" w:rsidR="007367AC" w:rsidRDefault="007367AC" w:rsidP="002804A6">
            <w:pPr>
              <w:pStyle w:val="TableParagraph"/>
              <w:spacing w:before="53"/>
              <w:ind w:left="-5" w:right="63"/>
              <w:jc w:val="center"/>
              <w:rPr>
                <w:sz w:val="20"/>
              </w:rPr>
            </w:pPr>
            <w:r>
              <w:rPr>
                <w:sz w:val="20"/>
              </w:rPr>
              <w:t>Parallel</w:t>
            </w:r>
          </w:p>
        </w:tc>
        <w:tc>
          <w:tcPr>
            <w:tcW w:w="992" w:type="dxa"/>
            <w:tcBorders>
              <w:bottom w:val="single" w:sz="4" w:space="0" w:color="000000"/>
            </w:tcBorders>
          </w:tcPr>
          <w:p w14:paraId="18E71FDB" w14:textId="77777777" w:rsidR="007367AC" w:rsidRDefault="007367AC" w:rsidP="002804A6">
            <w:pPr>
              <w:pStyle w:val="TableParagraph"/>
              <w:spacing w:before="53"/>
              <w:ind w:right="544" w:firstLine="40"/>
              <w:jc w:val="center"/>
              <w:rPr>
                <w:sz w:val="20"/>
              </w:rPr>
            </w:pPr>
            <w:r>
              <w:rPr>
                <w:w w:val="99"/>
                <w:sz w:val="20"/>
              </w:rPr>
              <w:t>2</w:t>
            </w:r>
          </w:p>
        </w:tc>
        <w:tc>
          <w:tcPr>
            <w:tcW w:w="1134" w:type="dxa"/>
            <w:tcBorders>
              <w:bottom w:val="single" w:sz="4" w:space="0" w:color="000000"/>
            </w:tcBorders>
          </w:tcPr>
          <w:p w14:paraId="75BDDDE9" w14:textId="77777777" w:rsidR="007367AC" w:rsidRDefault="007367AC" w:rsidP="002804A6">
            <w:pPr>
              <w:pStyle w:val="TableParagraph"/>
              <w:spacing w:before="53"/>
              <w:ind w:left="144" w:right="478"/>
              <w:jc w:val="right"/>
              <w:rPr>
                <w:sz w:val="20"/>
              </w:rPr>
            </w:pPr>
            <w:r>
              <w:rPr>
                <w:sz w:val="20"/>
              </w:rPr>
              <w:t>16</w:t>
            </w:r>
          </w:p>
        </w:tc>
        <w:tc>
          <w:tcPr>
            <w:tcW w:w="935" w:type="dxa"/>
            <w:tcBorders>
              <w:bottom w:val="single" w:sz="4" w:space="0" w:color="000000"/>
            </w:tcBorders>
          </w:tcPr>
          <w:p w14:paraId="0FF72D2E" w14:textId="77777777" w:rsidR="007367AC" w:rsidRPr="002804A6" w:rsidRDefault="007367AC" w:rsidP="002804A6">
            <w:pPr>
              <w:pStyle w:val="TableParagraph"/>
              <w:spacing w:before="53"/>
              <w:ind w:right="-54"/>
              <w:jc w:val="center"/>
              <w:rPr>
                <w:sz w:val="18"/>
                <w:szCs w:val="20"/>
              </w:rPr>
            </w:pPr>
            <w:r w:rsidRPr="002804A6">
              <w:rPr>
                <w:sz w:val="18"/>
                <w:szCs w:val="20"/>
              </w:rPr>
              <w:t>37.12</w:t>
            </w:r>
          </w:p>
        </w:tc>
        <w:tc>
          <w:tcPr>
            <w:tcW w:w="839" w:type="dxa"/>
            <w:tcBorders>
              <w:bottom w:val="single" w:sz="4" w:space="0" w:color="000000"/>
            </w:tcBorders>
          </w:tcPr>
          <w:p w14:paraId="188D092B" w14:textId="77777777" w:rsidR="007367AC" w:rsidRPr="002804A6" w:rsidRDefault="007367AC" w:rsidP="002804A6">
            <w:pPr>
              <w:pStyle w:val="TableParagraph"/>
              <w:spacing w:before="53"/>
              <w:jc w:val="center"/>
              <w:rPr>
                <w:sz w:val="18"/>
                <w:szCs w:val="20"/>
              </w:rPr>
            </w:pPr>
            <w:r w:rsidRPr="002804A6">
              <w:rPr>
                <w:sz w:val="18"/>
                <w:szCs w:val="20"/>
              </w:rPr>
              <w:t>21.98</w:t>
            </w:r>
          </w:p>
        </w:tc>
        <w:tc>
          <w:tcPr>
            <w:tcW w:w="778" w:type="dxa"/>
            <w:tcBorders>
              <w:bottom w:val="single" w:sz="4" w:space="0" w:color="000000"/>
            </w:tcBorders>
          </w:tcPr>
          <w:p w14:paraId="75A566B9" w14:textId="77777777" w:rsidR="007367AC" w:rsidRDefault="007367AC" w:rsidP="002804A6">
            <w:pPr>
              <w:pStyle w:val="TableParagraph"/>
              <w:spacing w:before="53"/>
              <w:jc w:val="center"/>
              <w:rPr>
                <w:sz w:val="20"/>
              </w:rPr>
            </w:pPr>
            <w:r>
              <w:rPr>
                <w:sz w:val="20"/>
              </w:rPr>
              <w:t>NR</w:t>
            </w:r>
          </w:p>
        </w:tc>
        <w:tc>
          <w:tcPr>
            <w:tcW w:w="850" w:type="dxa"/>
            <w:tcBorders>
              <w:bottom w:val="single" w:sz="4" w:space="0" w:color="000000"/>
            </w:tcBorders>
          </w:tcPr>
          <w:p w14:paraId="6562B892" w14:textId="77777777" w:rsidR="007367AC" w:rsidRDefault="007367AC" w:rsidP="002804A6">
            <w:pPr>
              <w:pStyle w:val="TableParagraph"/>
              <w:spacing w:before="53"/>
              <w:ind w:right="34"/>
              <w:jc w:val="center"/>
              <w:rPr>
                <w:sz w:val="20"/>
              </w:rPr>
            </w:pPr>
            <w:r>
              <w:rPr>
                <w:sz w:val="20"/>
              </w:rPr>
              <w:t>32.68</w:t>
            </w:r>
          </w:p>
        </w:tc>
      </w:tr>
    </w:tbl>
    <w:p w14:paraId="35E77C6D" w14:textId="69604ED2" w:rsidR="007367AC" w:rsidRDefault="007367AC" w:rsidP="002804A6">
      <w:pPr>
        <w:pStyle w:val="BodyText"/>
        <w:spacing w:line="275" w:lineRule="exact"/>
        <w:ind w:left="218"/>
        <w:jc w:val="center"/>
      </w:pPr>
      <w:r>
        <w:t>*NR:</w:t>
      </w:r>
      <w:r>
        <w:rPr>
          <w:spacing w:val="-2"/>
        </w:rPr>
        <w:t xml:space="preserve"> </w:t>
      </w:r>
      <w:r>
        <w:t>Not</w:t>
      </w:r>
      <w:r>
        <w:rPr>
          <w:spacing w:val="-1"/>
        </w:rPr>
        <w:t xml:space="preserve"> </w:t>
      </w:r>
      <w:r>
        <w:t>reported</w:t>
      </w:r>
    </w:p>
    <w:p w14:paraId="0C9D2C88" w14:textId="77777777" w:rsidR="007367AC" w:rsidRDefault="007367AC" w:rsidP="007367AC">
      <w:pPr>
        <w:pStyle w:val="BodyText"/>
        <w:spacing w:line="275" w:lineRule="exact"/>
        <w:ind w:left="218"/>
      </w:pPr>
    </w:p>
    <w:p w14:paraId="18AC8C71" w14:textId="5425DF06" w:rsidR="007367AC" w:rsidRDefault="007367AC" w:rsidP="002804A6">
      <w:pPr>
        <w:tabs>
          <w:tab w:val="left" w:pos="5190"/>
        </w:tabs>
        <w:jc w:val="center"/>
        <w:rPr>
          <w:b/>
          <w:bCs/>
          <w:color w:val="000000" w:themeColor="text1"/>
          <w:lang w:val="sv-SE"/>
        </w:rPr>
      </w:pPr>
      <w:r>
        <w:rPr>
          <w:b/>
          <w:bCs/>
          <w:color w:val="000000" w:themeColor="text1"/>
          <w:lang w:val="sv-SE"/>
        </w:rPr>
        <w:t>Table 1b. Characteristics of</w:t>
      </w:r>
      <w:r w:rsidR="00ED765A">
        <w:rPr>
          <w:b/>
          <w:bCs/>
          <w:color w:val="000000" w:themeColor="text1"/>
          <w:lang w:val="sv-SE"/>
        </w:rPr>
        <w:t xml:space="preserve"> </w:t>
      </w:r>
      <w:r>
        <w:rPr>
          <w:b/>
          <w:bCs/>
          <w:color w:val="000000" w:themeColor="text1"/>
          <w:lang w:val="sv-SE"/>
        </w:rPr>
        <w:t>included studies</w:t>
      </w:r>
    </w:p>
    <w:tbl>
      <w:tblPr>
        <w:tblW w:w="8222" w:type="dxa"/>
        <w:jc w:val="center"/>
        <w:tblLayout w:type="fixed"/>
        <w:tblCellMar>
          <w:left w:w="0" w:type="dxa"/>
          <w:right w:w="0" w:type="dxa"/>
        </w:tblCellMar>
        <w:tblLook w:val="01E0" w:firstRow="1" w:lastRow="1" w:firstColumn="1" w:lastColumn="1" w:noHBand="0" w:noVBand="0"/>
      </w:tblPr>
      <w:tblGrid>
        <w:gridCol w:w="1134"/>
        <w:gridCol w:w="1134"/>
        <w:gridCol w:w="851"/>
        <w:gridCol w:w="1134"/>
        <w:gridCol w:w="1276"/>
        <w:gridCol w:w="1134"/>
        <w:gridCol w:w="1559"/>
      </w:tblGrid>
      <w:tr w:rsidR="007367AC" w14:paraId="50CD0418" w14:textId="77777777" w:rsidTr="002804A6">
        <w:trPr>
          <w:trHeight w:val="345"/>
          <w:jc w:val="center"/>
        </w:trPr>
        <w:tc>
          <w:tcPr>
            <w:tcW w:w="1134" w:type="dxa"/>
            <w:tcBorders>
              <w:top w:val="single" w:sz="4" w:space="0" w:color="000000"/>
            </w:tcBorders>
          </w:tcPr>
          <w:p w14:paraId="2E947AB5" w14:textId="77777777" w:rsidR="007367AC" w:rsidRDefault="007367AC" w:rsidP="001E22AC">
            <w:pPr>
              <w:pStyle w:val="TableParagraph"/>
              <w:ind w:left="117"/>
              <w:rPr>
                <w:b/>
                <w:sz w:val="20"/>
              </w:rPr>
            </w:pPr>
            <w:r>
              <w:rPr>
                <w:b/>
                <w:sz w:val="20"/>
              </w:rPr>
              <w:t>First</w:t>
            </w:r>
            <w:r>
              <w:rPr>
                <w:b/>
                <w:spacing w:val="-1"/>
                <w:sz w:val="20"/>
              </w:rPr>
              <w:t xml:space="preserve"> </w:t>
            </w:r>
            <w:r>
              <w:rPr>
                <w:b/>
                <w:sz w:val="20"/>
              </w:rPr>
              <w:t>author, year</w:t>
            </w:r>
          </w:p>
        </w:tc>
        <w:tc>
          <w:tcPr>
            <w:tcW w:w="1134" w:type="dxa"/>
            <w:tcBorders>
              <w:top w:val="single" w:sz="4" w:space="0" w:color="000000"/>
              <w:bottom w:val="single" w:sz="4" w:space="0" w:color="000000"/>
            </w:tcBorders>
          </w:tcPr>
          <w:p w14:paraId="11343950" w14:textId="77777777" w:rsidR="007367AC" w:rsidRDefault="007367AC" w:rsidP="001E22AC">
            <w:pPr>
              <w:pStyle w:val="TableParagraph"/>
              <w:rPr>
                <w:sz w:val="20"/>
              </w:rPr>
            </w:pPr>
          </w:p>
        </w:tc>
        <w:tc>
          <w:tcPr>
            <w:tcW w:w="4395" w:type="dxa"/>
            <w:gridSpan w:val="4"/>
            <w:tcBorders>
              <w:top w:val="single" w:sz="4" w:space="0" w:color="000000"/>
              <w:bottom w:val="single" w:sz="4" w:space="0" w:color="000000"/>
            </w:tcBorders>
          </w:tcPr>
          <w:p w14:paraId="1B877773" w14:textId="77777777" w:rsidR="007367AC" w:rsidRDefault="007367AC" w:rsidP="001E22AC">
            <w:pPr>
              <w:pStyle w:val="TableParagraph"/>
              <w:ind w:left="1576" w:right="1141"/>
              <w:jc w:val="center"/>
              <w:rPr>
                <w:b/>
                <w:sz w:val="20"/>
              </w:rPr>
            </w:pPr>
            <w:r>
              <w:rPr>
                <w:b/>
                <w:sz w:val="20"/>
              </w:rPr>
              <w:t>Outcomes</w:t>
            </w:r>
            <w:r>
              <w:rPr>
                <w:b/>
                <w:spacing w:val="-4"/>
                <w:sz w:val="20"/>
              </w:rPr>
              <w:t xml:space="preserve"> </w:t>
            </w:r>
            <w:r>
              <w:rPr>
                <w:b/>
                <w:sz w:val="20"/>
              </w:rPr>
              <w:t>assessment</w:t>
            </w:r>
            <w:r>
              <w:rPr>
                <w:b/>
                <w:spacing w:val="-4"/>
                <w:sz w:val="20"/>
              </w:rPr>
              <w:t xml:space="preserve"> </w:t>
            </w:r>
            <w:r>
              <w:rPr>
                <w:b/>
                <w:sz w:val="20"/>
              </w:rPr>
              <w:t>timing</w:t>
            </w:r>
            <w:r>
              <w:rPr>
                <w:b/>
                <w:spacing w:val="1"/>
                <w:sz w:val="20"/>
              </w:rPr>
              <w:t xml:space="preserve"> </w:t>
            </w:r>
            <w:r>
              <w:rPr>
                <w:b/>
                <w:sz w:val="20"/>
              </w:rPr>
              <w:t>after</w:t>
            </w:r>
            <w:r>
              <w:rPr>
                <w:b/>
                <w:spacing w:val="-4"/>
                <w:sz w:val="20"/>
              </w:rPr>
              <w:t xml:space="preserve"> </w:t>
            </w:r>
            <w:r>
              <w:rPr>
                <w:b/>
                <w:sz w:val="20"/>
              </w:rPr>
              <w:t>treatment</w:t>
            </w:r>
            <w:r>
              <w:rPr>
                <w:b/>
                <w:spacing w:val="-4"/>
                <w:sz w:val="20"/>
              </w:rPr>
              <w:t xml:space="preserve"> </w:t>
            </w:r>
            <w:r>
              <w:rPr>
                <w:b/>
                <w:sz w:val="20"/>
              </w:rPr>
              <w:t>(weeks)</w:t>
            </w:r>
          </w:p>
        </w:tc>
        <w:tc>
          <w:tcPr>
            <w:tcW w:w="1559" w:type="dxa"/>
            <w:tcBorders>
              <w:top w:val="single" w:sz="4" w:space="0" w:color="000000"/>
              <w:bottom w:val="single" w:sz="4" w:space="0" w:color="000000"/>
            </w:tcBorders>
          </w:tcPr>
          <w:p w14:paraId="36FE31E6" w14:textId="77777777" w:rsidR="007367AC" w:rsidRDefault="007367AC" w:rsidP="001E22AC">
            <w:pPr>
              <w:pStyle w:val="TableParagraph"/>
              <w:rPr>
                <w:sz w:val="20"/>
              </w:rPr>
            </w:pPr>
          </w:p>
        </w:tc>
      </w:tr>
      <w:tr w:rsidR="007367AC" w14:paraId="3AD06F7A" w14:textId="77777777" w:rsidTr="002804A6">
        <w:trPr>
          <w:trHeight w:val="690"/>
          <w:jc w:val="center"/>
        </w:trPr>
        <w:tc>
          <w:tcPr>
            <w:tcW w:w="1134" w:type="dxa"/>
            <w:tcBorders>
              <w:bottom w:val="single" w:sz="4" w:space="0" w:color="000000"/>
            </w:tcBorders>
          </w:tcPr>
          <w:p w14:paraId="6422E7C1" w14:textId="77777777" w:rsidR="007367AC" w:rsidRDefault="007367AC" w:rsidP="001E22AC">
            <w:pPr>
              <w:pStyle w:val="TableParagraph"/>
              <w:rPr>
                <w:sz w:val="20"/>
              </w:rPr>
            </w:pPr>
          </w:p>
        </w:tc>
        <w:tc>
          <w:tcPr>
            <w:tcW w:w="1134" w:type="dxa"/>
            <w:tcBorders>
              <w:top w:val="single" w:sz="4" w:space="0" w:color="000000"/>
              <w:bottom w:val="single" w:sz="4" w:space="0" w:color="000000"/>
            </w:tcBorders>
          </w:tcPr>
          <w:p w14:paraId="2A21CB8E" w14:textId="77777777" w:rsidR="007367AC" w:rsidRDefault="007367AC" w:rsidP="002804A6">
            <w:pPr>
              <w:pStyle w:val="TableParagraph"/>
              <w:ind w:left="-3"/>
              <w:rPr>
                <w:b/>
                <w:sz w:val="20"/>
              </w:rPr>
            </w:pPr>
            <w:r>
              <w:rPr>
                <w:b/>
                <w:sz w:val="20"/>
              </w:rPr>
              <w:t>Non-inflammatory</w:t>
            </w:r>
          </w:p>
          <w:p w14:paraId="6D8AC466" w14:textId="77777777" w:rsidR="007367AC" w:rsidRDefault="007367AC" w:rsidP="002804A6">
            <w:pPr>
              <w:pStyle w:val="TableParagraph"/>
              <w:spacing w:before="116"/>
              <w:ind w:left="-3"/>
              <w:rPr>
                <w:b/>
                <w:sz w:val="20"/>
              </w:rPr>
            </w:pPr>
            <w:r>
              <w:rPr>
                <w:b/>
                <w:sz w:val="20"/>
              </w:rPr>
              <w:t>lesion</w:t>
            </w:r>
            <w:r>
              <w:rPr>
                <w:b/>
                <w:spacing w:val="-3"/>
                <w:sz w:val="20"/>
              </w:rPr>
              <w:t xml:space="preserve"> </w:t>
            </w:r>
            <w:r>
              <w:rPr>
                <w:b/>
                <w:sz w:val="20"/>
              </w:rPr>
              <w:t>count</w:t>
            </w:r>
          </w:p>
        </w:tc>
        <w:tc>
          <w:tcPr>
            <w:tcW w:w="851" w:type="dxa"/>
            <w:tcBorders>
              <w:top w:val="single" w:sz="4" w:space="0" w:color="000000"/>
              <w:bottom w:val="single" w:sz="4" w:space="0" w:color="000000"/>
            </w:tcBorders>
          </w:tcPr>
          <w:p w14:paraId="7F9D77A2" w14:textId="77777777" w:rsidR="007367AC" w:rsidRDefault="007367AC" w:rsidP="001E22AC">
            <w:pPr>
              <w:pStyle w:val="TableParagraph"/>
              <w:ind w:left="151"/>
              <w:rPr>
                <w:b/>
                <w:sz w:val="20"/>
              </w:rPr>
            </w:pPr>
            <w:r>
              <w:rPr>
                <w:b/>
                <w:sz w:val="20"/>
              </w:rPr>
              <w:t>Inflammatory</w:t>
            </w:r>
          </w:p>
          <w:p w14:paraId="57038859" w14:textId="77777777" w:rsidR="007367AC" w:rsidRDefault="007367AC" w:rsidP="001E22AC">
            <w:pPr>
              <w:pStyle w:val="TableParagraph"/>
              <w:spacing w:before="116"/>
              <w:ind w:left="151"/>
              <w:rPr>
                <w:b/>
                <w:sz w:val="20"/>
              </w:rPr>
            </w:pPr>
            <w:r>
              <w:rPr>
                <w:b/>
                <w:sz w:val="20"/>
              </w:rPr>
              <w:t>lesion</w:t>
            </w:r>
            <w:r>
              <w:rPr>
                <w:b/>
                <w:spacing w:val="-2"/>
                <w:sz w:val="20"/>
              </w:rPr>
              <w:t xml:space="preserve"> </w:t>
            </w:r>
            <w:r>
              <w:rPr>
                <w:b/>
                <w:sz w:val="20"/>
              </w:rPr>
              <w:t>count</w:t>
            </w:r>
          </w:p>
        </w:tc>
        <w:tc>
          <w:tcPr>
            <w:tcW w:w="1134" w:type="dxa"/>
            <w:tcBorders>
              <w:top w:val="single" w:sz="4" w:space="0" w:color="000000"/>
              <w:bottom w:val="single" w:sz="4" w:space="0" w:color="000000"/>
            </w:tcBorders>
          </w:tcPr>
          <w:p w14:paraId="3D9299F8" w14:textId="77777777" w:rsidR="007367AC" w:rsidRDefault="007367AC" w:rsidP="002804A6">
            <w:pPr>
              <w:pStyle w:val="TableParagraph"/>
              <w:ind w:left="144"/>
              <w:jc w:val="center"/>
              <w:rPr>
                <w:b/>
                <w:sz w:val="20"/>
              </w:rPr>
            </w:pPr>
            <w:r>
              <w:rPr>
                <w:b/>
                <w:sz w:val="20"/>
              </w:rPr>
              <w:t>Acne</w:t>
            </w:r>
            <w:r>
              <w:rPr>
                <w:b/>
                <w:spacing w:val="-2"/>
                <w:sz w:val="20"/>
              </w:rPr>
              <w:t xml:space="preserve"> </w:t>
            </w:r>
            <w:r>
              <w:rPr>
                <w:b/>
                <w:sz w:val="20"/>
              </w:rPr>
              <w:t>severity</w:t>
            </w:r>
            <w:r>
              <w:rPr>
                <w:b/>
                <w:spacing w:val="-1"/>
                <w:sz w:val="20"/>
              </w:rPr>
              <w:t xml:space="preserve"> </w:t>
            </w:r>
            <w:r>
              <w:rPr>
                <w:b/>
                <w:sz w:val="20"/>
              </w:rPr>
              <w:t>score</w:t>
            </w:r>
          </w:p>
        </w:tc>
        <w:tc>
          <w:tcPr>
            <w:tcW w:w="1276" w:type="dxa"/>
            <w:tcBorders>
              <w:top w:val="single" w:sz="4" w:space="0" w:color="000000"/>
              <w:bottom w:val="single" w:sz="4" w:space="0" w:color="000000"/>
            </w:tcBorders>
          </w:tcPr>
          <w:p w14:paraId="5526E47E" w14:textId="77777777" w:rsidR="002804A6" w:rsidRDefault="007367AC" w:rsidP="001E22AC">
            <w:pPr>
              <w:pStyle w:val="TableParagraph"/>
              <w:ind w:left="132"/>
              <w:rPr>
                <w:b/>
                <w:sz w:val="20"/>
              </w:rPr>
            </w:pPr>
            <w:r>
              <w:rPr>
                <w:b/>
                <w:sz w:val="20"/>
              </w:rPr>
              <w:t>Patient</w:t>
            </w:r>
          </w:p>
          <w:p w14:paraId="3C299E8E" w14:textId="311D893E" w:rsidR="007367AC" w:rsidRDefault="007367AC" w:rsidP="001E22AC">
            <w:pPr>
              <w:pStyle w:val="TableParagraph"/>
              <w:ind w:left="132"/>
              <w:rPr>
                <w:b/>
                <w:sz w:val="20"/>
              </w:rPr>
            </w:pPr>
            <w:r>
              <w:rPr>
                <w:b/>
                <w:spacing w:val="-2"/>
                <w:sz w:val="20"/>
              </w:rPr>
              <w:t xml:space="preserve"> </w:t>
            </w:r>
            <w:r>
              <w:rPr>
                <w:b/>
                <w:sz w:val="20"/>
              </w:rPr>
              <w:t>satisfaction</w:t>
            </w:r>
          </w:p>
        </w:tc>
        <w:tc>
          <w:tcPr>
            <w:tcW w:w="1134" w:type="dxa"/>
            <w:tcBorders>
              <w:top w:val="single" w:sz="4" w:space="0" w:color="000000"/>
              <w:bottom w:val="single" w:sz="4" w:space="0" w:color="000000"/>
            </w:tcBorders>
          </w:tcPr>
          <w:p w14:paraId="0887BBF3" w14:textId="77777777" w:rsidR="002804A6" w:rsidRDefault="007367AC" w:rsidP="001E22AC">
            <w:pPr>
              <w:pStyle w:val="TableParagraph"/>
              <w:ind w:left="140"/>
              <w:rPr>
                <w:b/>
                <w:spacing w:val="-2"/>
                <w:sz w:val="20"/>
              </w:rPr>
            </w:pPr>
            <w:r>
              <w:rPr>
                <w:b/>
                <w:sz w:val="20"/>
              </w:rPr>
              <w:t>Acne</w:t>
            </w:r>
            <w:r>
              <w:rPr>
                <w:b/>
                <w:spacing w:val="-2"/>
                <w:sz w:val="20"/>
              </w:rPr>
              <w:t xml:space="preserve"> </w:t>
            </w:r>
          </w:p>
          <w:p w14:paraId="23B470CC" w14:textId="32FF55B4" w:rsidR="007367AC" w:rsidRDefault="007367AC" w:rsidP="001E22AC">
            <w:pPr>
              <w:pStyle w:val="TableParagraph"/>
              <w:ind w:left="140"/>
              <w:rPr>
                <w:b/>
                <w:sz w:val="20"/>
              </w:rPr>
            </w:pPr>
            <w:r>
              <w:rPr>
                <w:b/>
                <w:sz w:val="20"/>
              </w:rPr>
              <w:t>flare</w:t>
            </w:r>
          </w:p>
        </w:tc>
        <w:tc>
          <w:tcPr>
            <w:tcW w:w="1559" w:type="dxa"/>
            <w:tcBorders>
              <w:top w:val="single" w:sz="4" w:space="0" w:color="000000"/>
              <w:bottom w:val="single" w:sz="4" w:space="0" w:color="000000"/>
            </w:tcBorders>
          </w:tcPr>
          <w:p w14:paraId="5C581953" w14:textId="77777777" w:rsidR="007367AC" w:rsidRDefault="007367AC" w:rsidP="002804A6">
            <w:pPr>
              <w:pStyle w:val="TableParagraph"/>
              <w:rPr>
                <w:b/>
                <w:sz w:val="20"/>
              </w:rPr>
            </w:pPr>
            <w:r>
              <w:rPr>
                <w:b/>
                <w:sz w:val="20"/>
              </w:rPr>
              <w:t>Adverse</w:t>
            </w:r>
            <w:r>
              <w:rPr>
                <w:b/>
                <w:spacing w:val="-3"/>
                <w:sz w:val="20"/>
              </w:rPr>
              <w:t xml:space="preserve"> </w:t>
            </w:r>
            <w:r>
              <w:rPr>
                <w:b/>
                <w:sz w:val="20"/>
              </w:rPr>
              <w:t>events</w:t>
            </w:r>
          </w:p>
        </w:tc>
      </w:tr>
      <w:tr w:rsidR="007367AC" w14:paraId="73604DB0" w14:textId="77777777" w:rsidTr="002804A6">
        <w:trPr>
          <w:trHeight w:val="293"/>
          <w:jc w:val="center"/>
        </w:trPr>
        <w:tc>
          <w:tcPr>
            <w:tcW w:w="1134" w:type="dxa"/>
            <w:tcBorders>
              <w:top w:val="single" w:sz="4" w:space="0" w:color="000000"/>
            </w:tcBorders>
          </w:tcPr>
          <w:p w14:paraId="69516B7E" w14:textId="77777777" w:rsidR="007367AC" w:rsidRDefault="007367AC" w:rsidP="001E22AC">
            <w:pPr>
              <w:pStyle w:val="TableParagraph"/>
              <w:spacing w:before="1"/>
              <w:ind w:left="117"/>
              <w:rPr>
                <w:sz w:val="20"/>
              </w:rPr>
            </w:pPr>
            <w:r>
              <w:rPr>
                <w:sz w:val="20"/>
              </w:rPr>
              <w:t>Lee</w:t>
            </w:r>
            <w:r>
              <w:rPr>
                <w:spacing w:val="-1"/>
                <w:sz w:val="20"/>
              </w:rPr>
              <w:t xml:space="preserve"> </w:t>
            </w:r>
            <w:r>
              <w:rPr>
                <w:sz w:val="20"/>
              </w:rPr>
              <w:t>et</w:t>
            </w:r>
            <w:r>
              <w:rPr>
                <w:spacing w:val="-1"/>
                <w:sz w:val="20"/>
              </w:rPr>
              <w:t xml:space="preserve"> </w:t>
            </w:r>
            <w:r>
              <w:rPr>
                <w:sz w:val="20"/>
              </w:rPr>
              <w:t>al,</w:t>
            </w:r>
            <w:r>
              <w:rPr>
                <w:spacing w:val="-1"/>
                <w:sz w:val="20"/>
              </w:rPr>
              <w:t xml:space="preserve"> </w:t>
            </w:r>
            <w:r>
              <w:rPr>
                <w:sz w:val="20"/>
              </w:rPr>
              <w:t>2014</w:t>
            </w:r>
          </w:p>
        </w:tc>
        <w:tc>
          <w:tcPr>
            <w:tcW w:w="1134" w:type="dxa"/>
            <w:tcBorders>
              <w:top w:val="single" w:sz="4" w:space="0" w:color="000000"/>
            </w:tcBorders>
          </w:tcPr>
          <w:p w14:paraId="7395A83F" w14:textId="77777777" w:rsidR="007367AC" w:rsidRDefault="007367AC" w:rsidP="002804A6">
            <w:pPr>
              <w:pStyle w:val="TableParagraph"/>
              <w:spacing w:before="1"/>
              <w:ind w:left="-3"/>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851" w:type="dxa"/>
            <w:tcBorders>
              <w:top w:val="single" w:sz="4" w:space="0" w:color="000000"/>
            </w:tcBorders>
          </w:tcPr>
          <w:p w14:paraId="4F64732B" w14:textId="77777777" w:rsidR="007367AC" w:rsidRDefault="007367AC" w:rsidP="001E22AC">
            <w:pPr>
              <w:pStyle w:val="TableParagraph"/>
              <w:spacing w:before="1"/>
              <w:ind w:left="151"/>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134" w:type="dxa"/>
            <w:tcBorders>
              <w:top w:val="single" w:sz="4" w:space="0" w:color="000000"/>
            </w:tcBorders>
          </w:tcPr>
          <w:p w14:paraId="5BA3233E" w14:textId="77777777" w:rsidR="007367AC" w:rsidRDefault="007367AC" w:rsidP="002804A6">
            <w:pPr>
              <w:pStyle w:val="TableParagraph"/>
              <w:spacing w:before="1"/>
              <w:ind w:left="144"/>
              <w:jc w:val="center"/>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276" w:type="dxa"/>
            <w:tcBorders>
              <w:top w:val="single" w:sz="4" w:space="0" w:color="000000"/>
            </w:tcBorders>
          </w:tcPr>
          <w:p w14:paraId="1C8BED93" w14:textId="77777777" w:rsidR="007367AC" w:rsidRDefault="007367AC" w:rsidP="001E22AC">
            <w:pPr>
              <w:pStyle w:val="TableParagraph"/>
              <w:spacing w:before="1"/>
              <w:ind w:left="132"/>
              <w:rPr>
                <w:sz w:val="20"/>
              </w:rPr>
            </w:pPr>
            <w:r>
              <w:rPr>
                <w:sz w:val="20"/>
              </w:rPr>
              <w:t>12</w:t>
            </w:r>
          </w:p>
        </w:tc>
        <w:tc>
          <w:tcPr>
            <w:tcW w:w="1134" w:type="dxa"/>
            <w:tcBorders>
              <w:top w:val="single" w:sz="4" w:space="0" w:color="000000"/>
            </w:tcBorders>
          </w:tcPr>
          <w:p w14:paraId="3F25D108" w14:textId="77777777" w:rsidR="007367AC" w:rsidRDefault="007367AC" w:rsidP="001E22AC">
            <w:pPr>
              <w:pStyle w:val="TableParagraph"/>
              <w:spacing w:before="1"/>
              <w:ind w:left="140"/>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559" w:type="dxa"/>
            <w:tcBorders>
              <w:top w:val="single" w:sz="4" w:space="0" w:color="000000"/>
            </w:tcBorders>
          </w:tcPr>
          <w:p w14:paraId="28D0F554" w14:textId="77777777" w:rsidR="007367AC" w:rsidRDefault="007367AC" w:rsidP="002804A6">
            <w:pPr>
              <w:pStyle w:val="TableParagraph"/>
              <w:spacing w:before="1"/>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r>
      <w:tr w:rsidR="007367AC" w14:paraId="04F60E24" w14:textId="77777777" w:rsidTr="002804A6">
        <w:trPr>
          <w:trHeight w:val="344"/>
          <w:jc w:val="center"/>
        </w:trPr>
        <w:tc>
          <w:tcPr>
            <w:tcW w:w="1134" w:type="dxa"/>
          </w:tcPr>
          <w:p w14:paraId="50913F4A" w14:textId="77777777" w:rsidR="007367AC" w:rsidRDefault="007367AC" w:rsidP="001E22AC">
            <w:pPr>
              <w:pStyle w:val="TableParagraph"/>
              <w:spacing w:before="53"/>
              <w:ind w:left="117"/>
              <w:rPr>
                <w:sz w:val="20"/>
              </w:rPr>
            </w:pPr>
            <w:r>
              <w:rPr>
                <w:sz w:val="20"/>
              </w:rPr>
              <w:t>Yosef</w:t>
            </w:r>
            <w:r>
              <w:rPr>
                <w:spacing w:val="-2"/>
                <w:sz w:val="20"/>
              </w:rPr>
              <w:t xml:space="preserve"> </w:t>
            </w:r>
            <w:r>
              <w:rPr>
                <w:sz w:val="20"/>
              </w:rPr>
              <w:t>et al,</w:t>
            </w:r>
            <w:r>
              <w:rPr>
                <w:spacing w:val="-1"/>
                <w:sz w:val="20"/>
              </w:rPr>
              <w:t xml:space="preserve"> </w:t>
            </w:r>
            <w:r>
              <w:rPr>
                <w:sz w:val="20"/>
              </w:rPr>
              <w:t>2017</w:t>
            </w:r>
          </w:p>
        </w:tc>
        <w:tc>
          <w:tcPr>
            <w:tcW w:w="1134" w:type="dxa"/>
          </w:tcPr>
          <w:p w14:paraId="6F35D884" w14:textId="77777777" w:rsidR="007367AC" w:rsidRDefault="007367AC" w:rsidP="002804A6">
            <w:pPr>
              <w:pStyle w:val="TableParagraph"/>
              <w:spacing w:before="53"/>
              <w:ind w:left="-3"/>
              <w:rPr>
                <w:sz w:val="20"/>
              </w:rPr>
            </w:pPr>
            <w:r>
              <w:rPr>
                <w:sz w:val="20"/>
              </w:rPr>
              <w:t>4, 8,</w:t>
            </w:r>
            <w:r>
              <w:rPr>
                <w:spacing w:val="-2"/>
                <w:sz w:val="20"/>
              </w:rPr>
              <w:t xml:space="preserve"> </w:t>
            </w:r>
            <w:r>
              <w:rPr>
                <w:sz w:val="20"/>
              </w:rPr>
              <w:t>12,</w:t>
            </w:r>
            <w:r>
              <w:rPr>
                <w:spacing w:val="-1"/>
                <w:sz w:val="20"/>
              </w:rPr>
              <w:t xml:space="preserve"> </w:t>
            </w:r>
            <w:r>
              <w:rPr>
                <w:sz w:val="20"/>
              </w:rPr>
              <w:t>16</w:t>
            </w:r>
          </w:p>
        </w:tc>
        <w:tc>
          <w:tcPr>
            <w:tcW w:w="851" w:type="dxa"/>
          </w:tcPr>
          <w:p w14:paraId="7FC02999" w14:textId="77777777" w:rsidR="007367AC" w:rsidRDefault="007367AC" w:rsidP="001E22AC">
            <w:pPr>
              <w:pStyle w:val="TableParagraph"/>
              <w:spacing w:before="53"/>
              <w:ind w:left="151"/>
              <w:rPr>
                <w:sz w:val="20"/>
              </w:rPr>
            </w:pPr>
            <w:r>
              <w:rPr>
                <w:sz w:val="20"/>
              </w:rPr>
              <w:t>4, 8,</w:t>
            </w:r>
            <w:r>
              <w:rPr>
                <w:spacing w:val="-2"/>
                <w:sz w:val="20"/>
              </w:rPr>
              <w:t xml:space="preserve"> </w:t>
            </w:r>
            <w:r>
              <w:rPr>
                <w:sz w:val="20"/>
              </w:rPr>
              <w:t>12,</w:t>
            </w:r>
            <w:r>
              <w:rPr>
                <w:spacing w:val="-1"/>
                <w:sz w:val="20"/>
              </w:rPr>
              <w:t xml:space="preserve"> </w:t>
            </w:r>
            <w:r>
              <w:rPr>
                <w:sz w:val="20"/>
              </w:rPr>
              <w:t>16</w:t>
            </w:r>
          </w:p>
        </w:tc>
        <w:tc>
          <w:tcPr>
            <w:tcW w:w="1134" w:type="dxa"/>
          </w:tcPr>
          <w:p w14:paraId="0A08D749" w14:textId="77777777" w:rsidR="007367AC" w:rsidRDefault="007367AC" w:rsidP="002804A6">
            <w:pPr>
              <w:pStyle w:val="TableParagraph"/>
              <w:spacing w:before="53"/>
              <w:ind w:left="144"/>
              <w:jc w:val="center"/>
              <w:rPr>
                <w:sz w:val="20"/>
              </w:rPr>
            </w:pPr>
            <w:r>
              <w:rPr>
                <w:sz w:val="20"/>
              </w:rPr>
              <w:t>4, 8,</w:t>
            </w:r>
            <w:r>
              <w:rPr>
                <w:spacing w:val="-2"/>
                <w:sz w:val="20"/>
              </w:rPr>
              <w:t xml:space="preserve"> </w:t>
            </w:r>
            <w:r>
              <w:rPr>
                <w:sz w:val="20"/>
              </w:rPr>
              <w:t>12,</w:t>
            </w:r>
            <w:r>
              <w:rPr>
                <w:spacing w:val="-1"/>
                <w:sz w:val="20"/>
              </w:rPr>
              <w:t xml:space="preserve"> </w:t>
            </w:r>
            <w:r>
              <w:rPr>
                <w:sz w:val="20"/>
              </w:rPr>
              <w:t>16</w:t>
            </w:r>
          </w:p>
        </w:tc>
        <w:tc>
          <w:tcPr>
            <w:tcW w:w="1276" w:type="dxa"/>
          </w:tcPr>
          <w:p w14:paraId="1037B303" w14:textId="77777777" w:rsidR="007367AC" w:rsidRDefault="007367AC" w:rsidP="001E22AC">
            <w:pPr>
              <w:pStyle w:val="TableParagraph"/>
              <w:spacing w:before="53"/>
              <w:ind w:left="132"/>
              <w:rPr>
                <w:sz w:val="20"/>
              </w:rPr>
            </w:pPr>
            <w:r>
              <w:rPr>
                <w:sz w:val="20"/>
              </w:rPr>
              <w:t>16</w:t>
            </w:r>
          </w:p>
        </w:tc>
        <w:tc>
          <w:tcPr>
            <w:tcW w:w="1134" w:type="dxa"/>
          </w:tcPr>
          <w:p w14:paraId="43DB2300" w14:textId="77777777" w:rsidR="007367AC" w:rsidRDefault="007367AC" w:rsidP="001E22AC">
            <w:pPr>
              <w:pStyle w:val="TableParagraph"/>
              <w:spacing w:before="53"/>
              <w:ind w:left="140"/>
              <w:rPr>
                <w:sz w:val="20"/>
              </w:rPr>
            </w:pPr>
            <w:r>
              <w:rPr>
                <w:sz w:val="20"/>
              </w:rPr>
              <w:t>4, 8,</w:t>
            </w:r>
            <w:r>
              <w:rPr>
                <w:spacing w:val="-2"/>
                <w:sz w:val="20"/>
              </w:rPr>
              <w:t xml:space="preserve"> </w:t>
            </w:r>
            <w:r>
              <w:rPr>
                <w:sz w:val="20"/>
              </w:rPr>
              <w:t>12,</w:t>
            </w:r>
            <w:r>
              <w:rPr>
                <w:spacing w:val="-1"/>
                <w:sz w:val="20"/>
              </w:rPr>
              <w:t xml:space="preserve"> </w:t>
            </w:r>
            <w:r>
              <w:rPr>
                <w:sz w:val="20"/>
              </w:rPr>
              <w:t>16</w:t>
            </w:r>
          </w:p>
        </w:tc>
        <w:tc>
          <w:tcPr>
            <w:tcW w:w="1559" w:type="dxa"/>
          </w:tcPr>
          <w:p w14:paraId="48DA9795" w14:textId="77777777" w:rsidR="007367AC" w:rsidRDefault="007367AC" w:rsidP="002804A6">
            <w:pPr>
              <w:pStyle w:val="TableParagraph"/>
              <w:spacing w:before="53"/>
              <w:rPr>
                <w:sz w:val="20"/>
              </w:rPr>
            </w:pPr>
            <w:r>
              <w:rPr>
                <w:sz w:val="20"/>
              </w:rPr>
              <w:t>4, 8,</w:t>
            </w:r>
            <w:r>
              <w:rPr>
                <w:spacing w:val="-2"/>
                <w:sz w:val="20"/>
              </w:rPr>
              <w:t xml:space="preserve"> </w:t>
            </w:r>
            <w:r>
              <w:rPr>
                <w:sz w:val="20"/>
              </w:rPr>
              <w:t>12,</w:t>
            </w:r>
            <w:r>
              <w:rPr>
                <w:spacing w:val="-1"/>
                <w:sz w:val="20"/>
              </w:rPr>
              <w:t xml:space="preserve"> </w:t>
            </w:r>
            <w:r>
              <w:rPr>
                <w:sz w:val="20"/>
              </w:rPr>
              <w:t>16</w:t>
            </w:r>
          </w:p>
        </w:tc>
      </w:tr>
      <w:tr w:rsidR="007367AC" w14:paraId="24A392E2" w14:textId="77777777" w:rsidTr="002804A6">
        <w:trPr>
          <w:trHeight w:val="690"/>
          <w:jc w:val="center"/>
        </w:trPr>
        <w:tc>
          <w:tcPr>
            <w:tcW w:w="1134" w:type="dxa"/>
          </w:tcPr>
          <w:p w14:paraId="6E893AD7" w14:textId="77777777" w:rsidR="007367AC" w:rsidRDefault="007367AC" w:rsidP="001E22AC">
            <w:pPr>
              <w:pStyle w:val="TableParagraph"/>
              <w:spacing w:before="52"/>
              <w:ind w:left="117"/>
              <w:rPr>
                <w:sz w:val="20"/>
              </w:rPr>
            </w:pPr>
            <w:r>
              <w:rPr>
                <w:sz w:val="20"/>
              </w:rPr>
              <w:t>Dhaher &amp;</w:t>
            </w:r>
            <w:r>
              <w:rPr>
                <w:spacing w:val="-3"/>
                <w:sz w:val="20"/>
              </w:rPr>
              <w:t xml:space="preserve"> </w:t>
            </w:r>
            <w:r>
              <w:rPr>
                <w:sz w:val="20"/>
              </w:rPr>
              <w:t>Jasim</w:t>
            </w:r>
            <w:r>
              <w:rPr>
                <w:spacing w:val="-3"/>
                <w:sz w:val="20"/>
              </w:rPr>
              <w:t xml:space="preserve"> </w:t>
            </w:r>
            <w:r>
              <w:rPr>
                <w:sz w:val="20"/>
              </w:rPr>
              <w:t>,</w:t>
            </w:r>
          </w:p>
          <w:p w14:paraId="21A33A0D" w14:textId="77777777" w:rsidR="007367AC" w:rsidRDefault="007367AC" w:rsidP="001E22AC">
            <w:pPr>
              <w:pStyle w:val="TableParagraph"/>
              <w:spacing w:before="115"/>
              <w:ind w:left="117"/>
              <w:rPr>
                <w:sz w:val="20"/>
              </w:rPr>
            </w:pPr>
            <w:r>
              <w:rPr>
                <w:sz w:val="20"/>
              </w:rPr>
              <w:t>2018</w:t>
            </w:r>
          </w:p>
        </w:tc>
        <w:tc>
          <w:tcPr>
            <w:tcW w:w="1134" w:type="dxa"/>
          </w:tcPr>
          <w:p w14:paraId="0DF6C697" w14:textId="77777777" w:rsidR="007367AC" w:rsidRDefault="007367AC" w:rsidP="002804A6">
            <w:pPr>
              <w:pStyle w:val="TableParagraph"/>
              <w:spacing w:before="52"/>
              <w:ind w:left="-3"/>
              <w:rPr>
                <w:sz w:val="20"/>
              </w:rPr>
            </w:pPr>
            <w:r>
              <w:rPr>
                <w:sz w:val="20"/>
              </w:rPr>
              <w:t>4, 8,</w:t>
            </w:r>
            <w:r>
              <w:rPr>
                <w:spacing w:val="-2"/>
                <w:sz w:val="20"/>
              </w:rPr>
              <w:t xml:space="preserve"> </w:t>
            </w:r>
            <w:r>
              <w:rPr>
                <w:sz w:val="20"/>
              </w:rPr>
              <w:t>12</w:t>
            </w:r>
          </w:p>
        </w:tc>
        <w:tc>
          <w:tcPr>
            <w:tcW w:w="851" w:type="dxa"/>
          </w:tcPr>
          <w:p w14:paraId="4F2D355E" w14:textId="77777777" w:rsidR="007367AC" w:rsidRDefault="007367AC" w:rsidP="001E22AC">
            <w:pPr>
              <w:pStyle w:val="TableParagraph"/>
              <w:spacing w:before="52"/>
              <w:ind w:left="151"/>
              <w:rPr>
                <w:sz w:val="20"/>
              </w:rPr>
            </w:pPr>
            <w:r>
              <w:rPr>
                <w:sz w:val="20"/>
              </w:rPr>
              <w:t>4, 8,</w:t>
            </w:r>
            <w:r>
              <w:rPr>
                <w:spacing w:val="-2"/>
                <w:sz w:val="20"/>
              </w:rPr>
              <w:t xml:space="preserve"> </w:t>
            </w:r>
            <w:r>
              <w:rPr>
                <w:sz w:val="20"/>
              </w:rPr>
              <w:t>12</w:t>
            </w:r>
          </w:p>
        </w:tc>
        <w:tc>
          <w:tcPr>
            <w:tcW w:w="1134" w:type="dxa"/>
          </w:tcPr>
          <w:p w14:paraId="14653EED" w14:textId="77777777" w:rsidR="007367AC" w:rsidRDefault="007367AC" w:rsidP="002804A6">
            <w:pPr>
              <w:pStyle w:val="TableParagraph"/>
              <w:spacing w:before="52"/>
              <w:ind w:left="144"/>
              <w:jc w:val="center"/>
              <w:rPr>
                <w:sz w:val="20"/>
              </w:rPr>
            </w:pPr>
            <w:r>
              <w:rPr>
                <w:sz w:val="20"/>
              </w:rPr>
              <w:t>NR</w:t>
            </w:r>
          </w:p>
        </w:tc>
        <w:tc>
          <w:tcPr>
            <w:tcW w:w="1276" w:type="dxa"/>
          </w:tcPr>
          <w:p w14:paraId="0B2BD388" w14:textId="77777777" w:rsidR="007367AC" w:rsidRDefault="007367AC" w:rsidP="001E22AC">
            <w:pPr>
              <w:pStyle w:val="TableParagraph"/>
              <w:spacing w:before="52"/>
              <w:ind w:left="132"/>
              <w:rPr>
                <w:sz w:val="20"/>
              </w:rPr>
            </w:pPr>
            <w:r>
              <w:rPr>
                <w:sz w:val="20"/>
              </w:rPr>
              <w:t>12</w:t>
            </w:r>
          </w:p>
        </w:tc>
        <w:tc>
          <w:tcPr>
            <w:tcW w:w="1134" w:type="dxa"/>
          </w:tcPr>
          <w:p w14:paraId="2B5EBC2F" w14:textId="77777777" w:rsidR="007367AC" w:rsidRDefault="007367AC" w:rsidP="001E22AC">
            <w:pPr>
              <w:pStyle w:val="TableParagraph"/>
              <w:spacing w:before="52"/>
              <w:ind w:left="140"/>
              <w:rPr>
                <w:sz w:val="20"/>
              </w:rPr>
            </w:pPr>
            <w:r>
              <w:rPr>
                <w:sz w:val="20"/>
              </w:rPr>
              <w:t>NR</w:t>
            </w:r>
          </w:p>
        </w:tc>
        <w:tc>
          <w:tcPr>
            <w:tcW w:w="1559" w:type="dxa"/>
          </w:tcPr>
          <w:p w14:paraId="6C661E41" w14:textId="77777777" w:rsidR="007367AC" w:rsidRDefault="007367AC" w:rsidP="002804A6">
            <w:pPr>
              <w:pStyle w:val="TableParagraph"/>
              <w:spacing w:before="52"/>
              <w:rPr>
                <w:sz w:val="20"/>
              </w:rPr>
            </w:pPr>
            <w:r>
              <w:rPr>
                <w:sz w:val="20"/>
              </w:rPr>
              <w:t>4, 8,</w:t>
            </w:r>
            <w:r>
              <w:rPr>
                <w:spacing w:val="-2"/>
                <w:sz w:val="20"/>
              </w:rPr>
              <w:t xml:space="preserve"> </w:t>
            </w:r>
            <w:r>
              <w:rPr>
                <w:sz w:val="20"/>
              </w:rPr>
              <w:t>12</w:t>
            </w:r>
          </w:p>
        </w:tc>
      </w:tr>
      <w:tr w:rsidR="007367AC" w14:paraId="1B59AC08" w14:textId="77777777" w:rsidTr="002804A6">
        <w:trPr>
          <w:trHeight w:val="690"/>
          <w:jc w:val="center"/>
        </w:trPr>
        <w:tc>
          <w:tcPr>
            <w:tcW w:w="1134" w:type="dxa"/>
          </w:tcPr>
          <w:p w14:paraId="3246B7E7" w14:textId="77777777" w:rsidR="007367AC" w:rsidRDefault="007367AC" w:rsidP="001E22AC">
            <w:pPr>
              <w:pStyle w:val="TableParagraph"/>
              <w:spacing w:before="53"/>
              <w:ind w:left="117"/>
              <w:rPr>
                <w:sz w:val="20"/>
              </w:rPr>
            </w:pPr>
            <w:r>
              <w:rPr>
                <w:sz w:val="20"/>
              </w:rPr>
              <w:t>Pandey</w:t>
            </w:r>
            <w:r>
              <w:rPr>
                <w:spacing w:val="-3"/>
                <w:sz w:val="20"/>
              </w:rPr>
              <w:t xml:space="preserve"> </w:t>
            </w:r>
            <w:r>
              <w:rPr>
                <w:sz w:val="20"/>
              </w:rPr>
              <w:t>&amp;</w:t>
            </w:r>
            <w:r>
              <w:rPr>
                <w:spacing w:val="-1"/>
                <w:sz w:val="20"/>
              </w:rPr>
              <w:t xml:space="preserve"> </w:t>
            </w:r>
            <w:r>
              <w:rPr>
                <w:sz w:val="20"/>
              </w:rPr>
              <w:t>Agrawal</w:t>
            </w:r>
            <w:r>
              <w:rPr>
                <w:spacing w:val="1"/>
                <w:sz w:val="20"/>
              </w:rPr>
              <w:t xml:space="preserve"> </w:t>
            </w:r>
            <w:r>
              <w:rPr>
                <w:sz w:val="20"/>
              </w:rPr>
              <w:t>,</w:t>
            </w:r>
          </w:p>
          <w:p w14:paraId="5E09DD8D" w14:textId="77777777" w:rsidR="007367AC" w:rsidRDefault="007367AC" w:rsidP="001E22AC">
            <w:pPr>
              <w:pStyle w:val="TableParagraph"/>
              <w:spacing w:before="116"/>
              <w:ind w:left="117"/>
              <w:rPr>
                <w:sz w:val="20"/>
              </w:rPr>
            </w:pPr>
            <w:r>
              <w:rPr>
                <w:sz w:val="20"/>
              </w:rPr>
              <w:t>2019</w:t>
            </w:r>
          </w:p>
        </w:tc>
        <w:tc>
          <w:tcPr>
            <w:tcW w:w="1134" w:type="dxa"/>
          </w:tcPr>
          <w:p w14:paraId="3B8552C0" w14:textId="77777777" w:rsidR="007367AC" w:rsidRDefault="007367AC" w:rsidP="002804A6">
            <w:pPr>
              <w:pStyle w:val="TableParagraph"/>
              <w:spacing w:before="53"/>
              <w:ind w:left="-3"/>
              <w:rPr>
                <w:sz w:val="20"/>
              </w:rPr>
            </w:pPr>
            <w:r>
              <w:rPr>
                <w:sz w:val="20"/>
              </w:rPr>
              <w:t>4, 8,</w:t>
            </w:r>
            <w:r>
              <w:rPr>
                <w:spacing w:val="-2"/>
                <w:sz w:val="20"/>
              </w:rPr>
              <w:t xml:space="preserve"> </w:t>
            </w:r>
            <w:r>
              <w:rPr>
                <w:sz w:val="20"/>
              </w:rPr>
              <w:t>12</w:t>
            </w:r>
          </w:p>
        </w:tc>
        <w:tc>
          <w:tcPr>
            <w:tcW w:w="851" w:type="dxa"/>
          </w:tcPr>
          <w:p w14:paraId="04C45224" w14:textId="77777777" w:rsidR="007367AC" w:rsidRDefault="007367AC" w:rsidP="001E22AC">
            <w:pPr>
              <w:pStyle w:val="TableParagraph"/>
              <w:spacing w:before="53"/>
              <w:ind w:left="151"/>
              <w:rPr>
                <w:sz w:val="20"/>
              </w:rPr>
            </w:pPr>
            <w:r>
              <w:rPr>
                <w:sz w:val="20"/>
              </w:rPr>
              <w:t>4, 8,</w:t>
            </w:r>
            <w:r>
              <w:rPr>
                <w:spacing w:val="-2"/>
                <w:sz w:val="20"/>
              </w:rPr>
              <w:t xml:space="preserve"> </w:t>
            </w:r>
            <w:r>
              <w:rPr>
                <w:sz w:val="20"/>
              </w:rPr>
              <w:t>12</w:t>
            </w:r>
          </w:p>
        </w:tc>
        <w:tc>
          <w:tcPr>
            <w:tcW w:w="1134" w:type="dxa"/>
          </w:tcPr>
          <w:p w14:paraId="7A8FE001" w14:textId="77777777" w:rsidR="007367AC" w:rsidRDefault="007367AC" w:rsidP="002804A6">
            <w:pPr>
              <w:pStyle w:val="TableParagraph"/>
              <w:spacing w:before="53"/>
              <w:ind w:left="144"/>
              <w:jc w:val="center"/>
              <w:rPr>
                <w:sz w:val="20"/>
              </w:rPr>
            </w:pPr>
            <w:r>
              <w:rPr>
                <w:sz w:val="20"/>
              </w:rPr>
              <w:t>4, 8,</w:t>
            </w:r>
            <w:r>
              <w:rPr>
                <w:spacing w:val="-2"/>
                <w:sz w:val="20"/>
              </w:rPr>
              <w:t xml:space="preserve"> </w:t>
            </w:r>
            <w:r>
              <w:rPr>
                <w:sz w:val="20"/>
              </w:rPr>
              <w:t>12</w:t>
            </w:r>
          </w:p>
        </w:tc>
        <w:tc>
          <w:tcPr>
            <w:tcW w:w="1276" w:type="dxa"/>
          </w:tcPr>
          <w:p w14:paraId="7C9177A7" w14:textId="77777777" w:rsidR="007367AC" w:rsidRDefault="007367AC" w:rsidP="001E22AC">
            <w:pPr>
              <w:pStyle w:val="TableParagraph"/>
              <w:spacing w:before="53"/>
              <w:ind w:left="132"/>
              <w:rPr>
                <w:sz w:val="20"/>
              </w:rPr>
            </w:pPr>
            <w:r>
              <w:rPr>
                <w:sz w:val="20"/>
              </w:rPr>
              <w:t>12</w:t>
            </w:r>
          </w:p>
        </w:tc>
        <w:tc>
          <w:tcPr>
            <w:tcW w:w="1134" w:type="dxa"/>
          </w:tcPr>
          <w:p w14:paraId="73A83415" w14:textId="77777777" w:rsidR="007367AC" w:rsidRDefault="007367AC" w:rsidP="001E22AC">
            <w:pPr>
              <w:pStyle w:val="TableParagraph"/>
              <w:spacing w:before="53"/>
              <w:ind w:left="140"/>
              <w:rPr>
                <w:sz w:val="20"/>
              </w:rPr>
            </w:pPr>
            <w:r>
              <w:rPr>
                <w:sz w:val="20"/>
              </w:rPr>
              <w:t>4, 8,</w:t>
            </w:r>
            <w:r>
              <w:rPr>
                <w:spacing w:val="-2"/>
                <w:sz w:val="20"/>
              </w:rPr>
              <w:t xml:space="preserve"> </w:t>
            </w:r>
            <w:r>
              <w:rPr>
                <w:sz w:val="20"/>
              </w:rPr>
              <w:t>12</w:t>
            </w:r>
          </w:p>
        </w:tc>
        <w:tc>
          <w:tcPr>
            <w:tcW w:w="1559" w:type="dxa"/>
          </w:tcPr>
          <w:p w14:paraId="16E2F18F" w14:textId="77777777" w:rsidR="007367AC" w:rsidRDefault="007367AC" w:rsidP="002804A6">
            <w:pPr>
              <w:pStyle w:val="TableParagraph"/>
              <w:spacing w:before="53"/>
              <w:rPr>
                <w:sz w:val="20"/>
              </w:rPr>
            </w:pPr>
            <w:r>
              <w:rPr>
                <w:sz w:val="20"/>
              </w:rPr>
              <w:t>4, 8,</w:t>
            </w:r>
            <w:r>
              <w:rPr>
                <w:spacing w:val="-2"/>
                <w:sz w:val="20"/>
              </w:rPr>
              <w:t xml:space="preserve"> </w:t>
            </w:r>
            <w:r>
              <w:rPr>
                <w:sz w:val="20"/>
              </w:rPr>
              <w:t>12</w:t>
            </w:r>
          </w:p>
        </w:tc>
      </w:tr>
      <w:tr w:rsidR="007367AC" w14:paraId="7EC80E5B" w14:textId="77777777" w:rsidTr="002804A6">
        <w:trPr>
          <w:trHeight w:val="344"/>
          <w:jc w:val="center"/>
        </w:trPr>
        <w:tc>
          <w:tcPr>
            <w:tcW w:w="1134" w:type="dxa"/>
          </w:tcPr>
          <w:p w14:paraId="5A296168" w14:textId="77777777" w:rsidR="007367AC" w:rsidRDefault="007367AC" w:rsidP="001E22AC">
            <w:pPr>
              <w:pStyle w:val="TableParagraph"/>
              <w:spacing w:before="52"/>
              <w:ind w:left="117"/>
              <w:rPr>
                <w:sz w:val="20"/>
              </w:rPr>
            </w:pPr>
            <w:r>
              <w:rPr>
                <w:sz w:val="20"/>
              </w:rPr>
              <w:t>Van</w:t>
            </w:r>
            <w:r>
              <w:rPr>
                <w:spacing w:val="-2"/>
                <w:sz w:val="20"/>
              </w:rPr>
              <w:t xml:space="preserve"> </w:t>
            </w:r>
            <w:r>
              <w:rPr>
                <w:sz w:val="20"/>
              </w:rPr>
              <w:t>Thai, 2019</w:t>
            </w:r>
          </w:p>
        </w:tc>
        <w:tc>
          <w:tcPr>
            <w:tcW w:w="1134" w:type="dxa"/>
          </w:tcPr>
          <w:p w14:paraId="008ABCF5" w14:textId="77777777" w:rsidR="007367AC" w:rsidRDefault="007367AC" w:rsidP="002804A6">
            <w:pPr>
              <w:pStyle w:val="TableParagraph"/>
              <w:spacing w:before="52"/>
              <w:ind w:left="-3"/>
              <w:rPr>
                <w:sz w:val="20"/>
              </w:rPr>
            </w:pPr>
            <w:r>
              <w:rPr>
                <w:sz w:val="20"/>
              </w:rPr>
              <w:t>3,</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851" w:type="dxa"/>
          </w:tcPr>
          <w:p w14:paraId="657FC53D" w14:textId="77777777" w:rsidR="007367AC" w:rsidRDefault="007367AC" w:rsidP="001E22AC">
            <w:pPr>
              <w:pStyle w:val="TableParagraph"/>
              <w:spacing w:before="52"/>
              <w:ind w:left="151"/>
              <w:rPr>
                <w:sz w:val="20"/>
              </w:rPr>
            </w:pPr>
            <w:r>
              <w:rPr>
                <w:sz w:val="20"/>
              </w:rPr>
              <w:t>3,</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134" w:type="dxa"/>
          </w:tcPr>
          <w:p w14:paraId="71BEA4E0" w14:textId="77777777" w:rsidR="007367AC" w:rsidRDefault="007367AC" w:rsidP="002804A6">
            <w:pPr>
              <w:pStyle w:val="TableParagraph"/>
              <w:spacing w:before="52"/>
              <w:ind w:left="144"/>
              <w:jc w:val="center"/>
              <w:rPr>
                <w:sz w:val="20"/>
              </w:rPr>
            </w:pPr>
            <w:r>
              <w:rPr>
                <w:sz w:val="20"/>
              </w:rPr>
              <w:t>3,</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276" w:type="dxa"/>
          </w:tcPr>
          <w:p w14:paraId="39C82A60" w14:textId="77777777" w:rsidR="007367AC" w:rsidRDefault="007367AC" w:rsidP="001E22AC">
            <w:pPr>
              <w:pStyle w:val="TableParagraph"/>
              <w:spacing w:before="52"/>
              <w:ind w:left="132"/>
              <w:rPr>
                <w:sz w:val="20"/>
              </w:rPr>
            </w:pPr>
            <w:r>
              <w:rPr>
                <w:sz w:val="20"/>
              </w:rPr>
              <w:t>NR</w:t>
            </w:r>
          </w:p>
        </w:tc>
        <w:tc>
          <w:tcPr>
            <w:tcW w:w="1134" w:type="dxa"/>
          </w:tcPr>
          <w:p w14:paraId="4F0E683C" w14:textId="77777777" w:rsidR="007367AC" w:rsidRDefault="007367AC" w:rsidP="001E22AC">
            <w:pPr>
              <w:pStyle w:val="TableParagraph"/>
              <w:spacing w:before="52"/>
              <w:ind w:left="140"/>
              <w:rPr>
                <w:sz w:val="20"/>
              </w:rPr>
            </w:pPr>
            <w:r>
              <w:rPr>
                <w:sz w:val="20"/>
              </w:rPr>
              <w:t>3,</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c>
          <w:tcPr>
            <w:tcW w:w="1559" w:type="dxa"/>
          </w:tcPr>
          <w:p w14:paraId="76C1AAF2" w14:textId="77777777" w:rsidR="007367AC" w:rsidRDefault="007367AC" w:rsidP="002804A6">
            <w:pPr>
              <w:pStyle w:val="TableParagraph"/>
              <w:spacing w:before="52"/>
              <w:rPr>
                <w:sz w:val="20"/>
              </w:rPr>
            </w:pPr>
            <w:r>
              <w:rPr>
                <w:sz w:val="20"/>
              </w:rPr>
              <w:t>3,</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w:t>
            </w:r>
          </w:p>
        </w:tc>
      </w:tr>
      <w:tr w:rsidR="007367AC" w14:paraId="6F7D1821" w14:textId="77777777" w:rsidTr="002804A6">
        <w:trPr>
          <w:trHeight w:val="398"/>
          <w:jc w:val="center"/>
        </w:trPr>
        <w:tc>
          <w:tcPr>
            <w:tcW w:w="1134" w:type="dxa"/>
            <w:tcBorders>
              <w:bottom w:val="single" w:sz="4" w:space="0" w:color="000000"/>
            </w:tcBorders>
          </w:tcPr>
          <w:p w14:paraId="5BDBB06B" w14:textId="77777777" w:rsidR="007367AC" w:rsidRDefault="007367AC" w:rsidP="001E22AC">
            <w:pPr>
              <w:pStyle w:val="TableParagraph"/>
              <w:spacing w:before="53"/>
              <w:ind w:left="117"/>
              <w:rPr>
                <w:sz w:val="20"/>
              </w:rPr>
            </w:pPr>
            <w:r>
              <w:rPr>
                <w:sz w:val="20"/>
              </w:rPr>
              <w:t>Van</w:t>
            </w:r>
            <w:r>
              <w:rPr>
                <w:spacing w:val="-3"/>
                <w:sz w:val="20"/>
              </w:rPr>
              <w:t xml:space="preserve"> </w:t>
            </w:r>
            <w:r>
              <w:rPr>
                <w:sz w:val="20"/>
              </w:rPr>
              <w:t>Thuong,</w:t>
            </w:r>
            <w:r>
              <w:rPr>
                <w:spacing w:val="-1"/>
                <w:sz w:val="20"/>
              </w:rPr>
              <w:t xml:space="preserve"> </w:t>
            </w:r>
            <w:r>
              <w:rPr>
                <w:sz w:val="20"/>
              </w:rPr>
              <w:t>2019</w:t>
            </w:r>
          </w:p>
        </w:tc>
        <w:tc>
          <w:tcPr>
            <w:tcW w:w="1134" w:type="dxa"/>
            <w:tcBorders>
              <w:bottom w:val="single" w:sz="4" w:space="0" w:color="000000"/>
            </w:tcBorders>
          </w:tcPr>
          <w:p w14:paraId="160BE05A" w14:textId="77777777" w:rsidR="007367AC" w:rsidRDefault="007367AC" w:rsidP="002804A6">
            <w:pPr>
              <w:pStyle w:val="TableParagraph"/>
              <w:spacing w:before="53"/>
              <w:ind w:left="-3"/>
              <w:rPr>
                <w:sz w:val="20"/>
              </w:rPr>
            </w:pPr>
            <w:r>
              <w:rPr>
                <w:sz w:val="20"/>
              </w:rPr>
              <w:t>NR</w:t>
            </w:r>
          </w:p>
        </w:tc>
        <w:tc>
          <w:tcPr>
            <w:tcW w:w="851" w:type="dxa"/>
            <w:tcBorders>
              <w:bottom w:val="single" w:sz="4" w:space="0" w:color="000000"/>
            </w:tcBorders>
          </w:tcPr>
          <w:p w14:paraId="60AA8A40" w14:textId="77777777" w:rsidR="007367AC" w:rsidRDefault="007367AC" w:rsidP="001E22AC">
            <w:pPr>
              <w:pStyle w:val="TableParagraph"/>
              <w:spacing w:before="53"/>
              <w:ind w:left="151"/>
              <w:rPr>
                <w:sz w:val="20"/>
              </w:rPr>
            </w:pPr>
            <w:r>
              <w:rPr>
                <w:sz w:val="20"/>
              </w:rPr>
              <w:t>2,</w:t>
            </w:r>
            <w:r>
              <w:rPr>
                <w:spacing w:val="-1"/>
                <w:sz w:val="20"/>
              </w:rPr>
              <w:t xml:space="preserve"> </w:t>
            </w:r>
            <w:r>
              <w:rPr>
                <w:sz w:val="20"/>
              </w:rPr>
              <w:t>4,</w:t>
            </w:r>
            <w:r>
              <w:rPr>
                <w:spacing w:val="-3"/>
                <w:sz w:val="20"/>
              </w:rPr>
              <w:t xml:space="preserve"> </w:t>
            </w:r>
            <w:r>
              <w:rPr>
                <w:sz w:val="20"/>
              </w:rPr>
              <w:t>8,</w:t>
            </w:r>
            <w:r>
              <w:rPr>
                <w:spacing w:val="-1"/>
                <w:sz w:val="20"/>
              </w:rPr>
              <w:t xml:space="preserve"> </w:t>
            </w:r>
            <w:r>
              <w:rPr>
                <w:sz w:val="20"/>
              </w:rPr>
              <w:t>12, 16</w:t>
            </w:r>
          </w:p>
        </w:tc>
        <w:tc>
          <w:tcPr>
            <w:tcW w:w="1134" w:type="dxa"/>
            <w:tcBorders>
              <w:bottom w:val="single" w:sz="4" w:space="0" w:color="000000"/>
            </w:tcBorders>
          </w:tcPr>
          <w:p w14:paraId="0986A3E0" w14:textId="77777777" w:rsidR="007367AC" w:rsidRDefault="007367AC" w:rsidP="002804A6">
            <w:pPr>
              <w:pStyle w:val="TableParagraph"/>
              <w:spacing w:before="53"/>
              <w:ind w:left="144"/>
              <w:jc w:val="center"/>
              <w:rPr>
                <w:sz w:val="20"/>
              </w:rPr>
            </w:pPr>
            <w:r>
              <w:rPr>
                <w:sz w:val="20"/>
              </w:rPr>
              <w:t>2,</w:t>
            </w:r>
            <w:r>
              <w:rPr>
                <w:spacing w:val="-1"/>
                <w:sz w:val="20"/>
              </w:rPr>
              <w:t xml:space="preserve"> </w:t>
            </w:r>
            <w:r>
              <w:rPr>
                <w:sz w:val="20"/>
              </w:rPr>
              <w:t>4,</w:t>
            </w:r>
            <w:r>
              <w:rPr>
                <w:spacing w:val="-2"/>
                <w:sz w:val="20"/>
              </w:rPr>
              <w:t xml:space="preserve"> </w:t>
            </w:r>
            <w:r>
              <w:rPr>
                <w:sz w:val="20"/>
              </w:rPr>
              <w:t>8,</w:t>
            </w:r>
            <w:r>
              <w:rPr>
                <w:spacing w:val="-1"/>
                <w:sz w:val="20"/>
              </w:rPr>
              <w:t xml:space="preserve"> </w:t>
            </w:r>
            <w:r>
              <w:rPr>
                <w:sz w:val="20"/>
              </w:rPr>
              <w:t>12, 16</w:t>
            </w:r>
          </w:p>
        </w:tc>
        <w:tc>
          <w:tcPr>
            <w:tcW w:w="1276" w:type="dxa"/>
            <w:tcBorders>
              <w:bottom w:val="single" w:sz="4" w:space="0" w:color="000000"/>
            </w:tcBorders>
          </w:tcPr>
          <w:p w14:paraId="0D498E10" w14:textId="77777777" w:rsidR="007367AC" w:rsidRDefault="007367AC" w:rsidP="001E22AC">
            <w:pPr>
              <w:pStyle w:val="TableParagraph"/>
              <w:spacing w:before="53"/>
              <w:ind w:left="132"/>
              <w:rPr>
                <w:sz w:val="20"/>
              </w:rPr>
            </w:pPr>
            <w:r>
              <w:rPr>
                <w:sz w:val="20"/>
              </w:rPr>
              <w:t>NR</w:t>
            </w:r>
          </w:p>
        </w:tc>
        <w:tc>
          <w:tcPr>
            <w:tcW w:w="1134" w:type="dxa"/>
            <w:tcBorders>
              <w:bottom w:val="single" w:sz="4" w:space="0" w:color="000000"/>
            </w:tcBorders>
          </w:tcPr>
          <w:p w14:paraId="59DBAC71" w14:textId="77777777" w:rsidR="007367AC" w:rsidRDefault="007367AC" w:rsidP="001E22AC">
            <w:pPr>
              <w:pStyle w:val="TableParagraph"/>
              <w:spacing w:before="53"/>
              <w:ind w:left="140"/>
              <w:rPr>
                <w:sz w:val="20"/>
              </w:rPr>
            </w:pPr>
            <w:r>
              <w:rPr>
                <w:sz w:val="20"/>
              </w:rPr>
              <w:t>NR</w:t>
            </w:r>
          </w:p>
        </w:tc>
        <w:tc>
          <w:tcPr>
            <w:tcW w:w="1559" w:type="dxa"/>
            <w:tcBorders>
              <w:bottom w:val="single" w:sz="4" w:space="0" w:color="000000"/>
            </w:tcBorders>
          </w:tcPr>
          <w:p w14:paraId="5B734078" w14:textId="77777777" w:rsidR="007367AC" w:rsidRDefault="007367AC" w:rsidP="002804A6">
            <w:pPr>
              <w:pStyle w:val="TableParagraph"/>
              <w:spacing w:before="53"/>
              <w:rPr>
                <w:sz w:val="20"/>
              </w:rPr>
            </w:pPr>
            <w:r>
              <w:rPr>
                <w:sz w:val="20"/>
              </w:rPr>
              <w:t>2,</w:t>
            </w:r>
            <w:r>
              <w:rPr>
                <w:spacing w:val="-1"/>
                <w:sz w:val="20"/>
              </w:rPr>
              <w:t xml:space="preserve"> </w:t>
            </w:r>
            <w:r>
              <w:rPr>
                <w:sz w:val="20"/>
              </w:rPr>
              <w:t>4,</w:t>
            </w:r>
            <w:r>
              <w:rPr>
                <w:spacing w:val="-3"/>
                <w:sz w:val="20"/>
              </w:rPr>
              <w:t xml:space="preserve"> </w:t>
            </w:r>
            <w:r>
              <w:rPr>
                <w:sz w:val="20"/>
              </w:rPr>
              <w:t>8,</w:t>
            </w:r>
            <w:r>
              <w:rPr>
                <w:spacing w:val="-1"/>
                <w:sz w:val="20"/>
              </w:rPr>
              <w:t xml:space="preserve"> </w:t>
            </w:r>
            <w:r>
              <w:rPr>
                <w:sz w:val="20"/>
              </w:rPr>
              <w:t>12, 16</w:t>
            </w:r>
          </w:p>
        </w:tc>
      </w:tr>
    </w:tbl>
    <w:p w14:paraId="2D139058" w14:textId="77777777" w:rsidR="007367AC" w:rsidRDefault="007367AC" w:rsidP="007367AC">
      <w:pPr>
        <w:tabs>
          <w:tab w:val="left" w:pos="5190"/>
        </w:tabs>
        <w:rPr>
          <w:b/>
          <w:bCs/>
          <w:color w:val="000000" w:themeColor="text1"/>
          <w:lang w:val="sv-SE"/>
        </w:rPr>
      </w:pPr>
    </w:p>
    <w:p w14:paraId="6295383D" w14:textId="77777777" w:rsidR="007367AC" w:rsidRDefault="007367AC" w:rsidP="007367AC">
      <w:pPr>
        <w:pStyle w:val="BodyText"/>
        <w:spacing w:line="275" w:lineRule="exact"/>
        <w:ind w:left="218"/>
      </w:pPr>
      <w:r>
        <w:t>*NR:</w:t>
      </w:r>
      <w:r>
        <w:rPr>
          <w:spacing w:val="-2"/>
        </w:rPr>
        <w:t xml:space="preserve"> </w:t>
      </w:r>
      <w:r>
        <w:t>Not</w:t>
      </w:r>
      <w:r>
        <w:rPr>
          <w:spacing w:val="-1"/>
        </w:rPr>
        <w:t xml:space="preserve"> </w:t>
      </w:r>
      <w:r>
        <w:t>reported</w:t>
      </w:r>
    </w:p>
    <w:p w14:paraId="32B03281" w14:textId="77777777" w:rsidR="007367AC" w:rsidRPr="008412A7" w:rsidRDefault="007367AC" w:rsidP="002361C4">
      <w:pPr>
        <w:widowControl w:val="0"/>
        <w:pBdr>
          <w:top w:val="nil"/>
          <w:left w:val="nil"/>
          <w:bottom w:val="nil"/>
          <w:right w:val="nil"/>
          <w:between w:val="nil"/>
        </w:pBdr>
        <w:ind w:right="11" w:firstLine="720"/>
        <w:jc w:val="both"/>
        <w:rPr>
          <w:color w:val="000000" w:themeColor="text1"/>
          <w:lang w:val="sv-SE"/>
        </w:rPr>
      </w:pPr>
    </w:p>
    <w:p w14:paraId="1AE6197C" w14:textId="77777777" w:rsidR="007367AC" w:rsidRDefault="007367AC" w:rsidP="008412A7">
      <w:pPr>
        <w:widowControl w:val="0"/>
        <w:pBdr>
          <w:top w:val="nil"/>
          <w:left w:val="nil"/>
          <w:bottom w:val="nil"/>
          <w:right w:val="nil"/>
          <w:between w:val="nil"/>
        </w:pBdr>
        <w:ind w:right="11"/>
        <w:jc w:val="both"/>
        <w:rPr>
          <w:b/>
          <w:bCs/>
          <w:color w:val="000000" w:themeColor="text1"/>
          <w:lang w:val="sv-SE"/>
        </w:rPr>
      </w:pPr>
    </w:p>
    <w:p w14:paraId="3758BD8C" w14:textId="2EBCC534" w:rsidR="008412A7" w:rsidRPr="008412A7" w:rsidRDefault="008412A7" w:rsidP="008412A7">
      <w:pPr>
        <w:widowControl w:val="0"/>
        <w:pBdr>
          <w:top w:val="nil"/>
          <w:left w:val="nil"/>
          <w:bottom w:val="nil"/>
          <w:right w:val="nil"/>
          <w:between w:val="nil"/>
        </w:pBdr>
        <w:ind w:right="11"/>
        <w:jc w:val="both"/>
        <w:rPr>
          <w:b/>
          <w:bCs/>
          <w:color w:val="000000" w:themeColor="text1"/>
          <w:lang w:val="sv-SE"/>
        </w:rPr>
      </w:pPr>
      <w:r w:rsidRPr="008412A7">
        <w:rPr>
          <w:b/>
          <w:bCs/>
          <w:color w:val="000000" w:themeColor="text1"/>
          <w:lang w:val="sv-SE"/>
        </w:rPr>
        <w:t>Treatments</w:t>
      </w:r>
    </w:p>
    <w:p w14:paraId="626C6EC9" w14:textId="718CB574"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Among 6 studies, there were 4 types of treatments in total listed as follows:</w:t>
      </w:r>
    </w:p>
    <w:p w14:paraId="74E3076F" w14:textId="22EE1E49" w:rsidR="008412A7" w:rsidRPr="002361C4" w:rsidRDefault="008412A7" w:rsidP="002361C4">
      <w:pPr>
        <w:pStyle w:val="ListParagraph"/>
        <w:widowControl w:val="0"/>
        <w:numPr>
          <w:ilvl w:val="0"/>
          <w:numId w:val="20"/>
        </w:numPr>
        <w:pBdr>
          <w:top w:val="nil"/>
          <w:left w:val="nil"/>
          <w:bottom w:val="nil"/>
          <w:right w:val="nil"/>
          <w:between w:val="nil"/>
        </w:pBdr>
        <w:ind w:right="11"/>
        <w:jc w:val="both"/>
        <w:rPr>
          <w:color w:val="000000" w:themeColor="text1"/>
          <w:lang w:val="sv-SE"/>
        </w:rPr>
      </w:pPr>
      <w:r w:rsidRPr="002361C4">
        <w:rPr>
          <w:color w:val="000000" w:themeColor="text1"/>
          <w:lang w:val="sv-SE"/>
        </w:rPr>
        <w:t>Monotherapy isotretinoin</w:t>
      </w:r>
    </w:p>
    <w:p w14:paraId="138E4FDE"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Oral isotretinoin with dosage 20 mg/day Combination of isotretinoin and topical</w:t>
      </w:r>
    </w:p>
    <w:p w14:paraId="02ED1110"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treatment</w:t>
      </w:r>
      <w:r w:rsidR="00471483">
        <w:rPr>
          <w:color w:val="000000" w:themeColor="text1"/>
          <w:lang w:val="sv-SE"/>
        </w:rPr>
        <w:t xml:space="preserve">, </w:t>
      </w:r>
      <w:r w:rsidRPr="008412A7">
        <w:rPr>
          <w:color w:val="000000" w:themeColor="text1"/>
          <w:lang w:val="sv-SE"/>
        </w:rPr>
        <w:t>Oral isotretinoin with dosage 5 mg/day, plus 20% topical azelaic acid</w:t>
      </w:r>
    </w:p>
    <w:p w14:paraId="4594A92B"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cream</w:t>
      </w:r>
      <w:r w:rsidR="00471483">
        <w:rPr>
          <w:color w:val="000000" w:themeColor="text1"/>
          <w:lang w:val="sv-SE"/>
        </w:rPr>
        <w:t xml:space="preserve">, </w:t>
      </w:r>
      <w:r w:rsidRPr="008412A7">
        <w:rPr>
          <w:color w:val="000000" w:themeColor="text1"/>
          <w:lang w:val="sv-SE"/>
        </w:rPr>
        <w:t>Combination of H1-antihistamines and other treatments</w:t>
      </w:r>
      <w:r w:rsidR="00471483">
        <w:rPr>
          <w:color w:val="000000" w:themeColor="text1"/>
          <w:lang w:val="sv-SE"/>
        </w:rPr>
        <w:t xml:space="preserve">, </w:t>
      </w:r>
      <w:r w:rsidRPr="008412A7">
        <w:rPr>
          <w:color w:val="000000" w:themeColor="text1"/>
          <w:lang w:val="sv-SE"/>
        </w:rPr>
        <w:t>Oral</w:t>
      </w:r>
    </w:p>
    <w:p w14:paraId="1D430DCC"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levocetirizine with dosage 5 mg/day, plus oral isotretinoin with dosage 20 mg/day</w:t>
      </w:r>
      <w:r w:rsidR="00471483">
        <w:rPr>
          <w:color w:val="000000" w:themeColor="text1"/>
          <w:lang w:val="sv-SE"/>
        </w:rPr>
        <w:t>,</w:t>
      </w:r>
    </w:p>
    <w:p w14:paraId="6BE5F7E4"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Oral levocetirizine with dosage 5 mg/day, plus oral isotretinoin with dosage 20</w:t>
      </w:r>
    </w:p>
    <w:p w14:paraId="25A76A37"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mg/day plus topical azelaic acid with concentration 20% in cream formulation</w:t>
      </w:r>
      <w:r w:rsidR="00471483">
        <w:rPr>
          <w:color w:val="000000" w:themeColor="text1"/>
          <w:lang w:val="sv-SE"/>
        </w:rPr>
        <w:t>,</w:t>
      </w:r>
    </w:p>
    <w:p w14:paraId="5BF0AD29"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Oral desloratadine with dosage 5 mg/day, plus oral isotretinoin with dosage 20</w:t>
      </w:r>
    </w:p>
    <w:p w14:paraId="5570188C" w14:textId="77777777" w:rsidR="002361C4"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mg/day</w:t>
      </w:r>
      <w:r w:rsidR="00471483">
        <w:rPr>
          <w:color w:val="000000" w:themeColor="text1"/>
          <w:lang w:val="sv-SE"/>
        </w:rPr>
        <w:t xml:space="preserve">, </w:t>
      </w:r>
      <w:r w:rsidRPr="008412A7">
        <w:rPr>
          <w:color w:val="000000" w:themeColor="text1"/>
          <w:lang w:val="sv-SE"/>
        </w:rPr>
        <w:t>Oral desloratadine with dosage 5 mg/day, plus oral isotretinoin and oral</w:t>
      </w:r>
    </w:p>
    <w:p w14:paraId="65BE5E72" w14:textId="36938C09" w:rsidR="008412A7" w:rsidRPr="008412A7" w:rsidRDefault="008412A7" w:rsidP="00471483">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azithromycin with dosage 5 mg/day and 500 mg/day respectively.</w:t>
      </w:r>
    </w:p>
    <w:p w14:paraId="533A3984" w14:textId="4B8EE90D" w:rsidR="008412A7" w:rsidRPr="002361C4" w:rsidRDefault="008412A7" w:rsidP="002361C4">
      <w:pPr>
        <w:pStyle w:val="ListParagraph"/>
        <w:widowControl w:val="0"/>
        <w:numPr>
          <w:ilvl w:val="0"/>
          <w:numId w:val="20"/>
        </w:numPr>
        <w:pBdr>
          <w:top w:val="nil"/>
          <w:left w:val="nil"/>
          <w:bottom w:val="nil"/>
          <w:right w:val="nil"/>
          <w:between w:val="nil"/>
        </w:pBdr>
        <w:ind w:right="11"/>
        <w:jc w:val="both"/>
        <w:rPr>
          <w:color w:val="000000" w:themeColor="text1"/>
          <w:lang w:val="sv-SE"/>
        </w:rPr>
      </w:pPr>
      <w:r w:rsidRPr="002361C4">
        <w:rPr>
          <w:color w:val="000000" w:themeColor="text1"/>
          <w:lang w:val="sv-SE"/>
        </w:rPr>
        <w:t>Combination of isotretinoin with antibiotic</w:t>
      </w:r>
    </w:p>
    <w:p w14:paraId="7BBD71B0" w14:textId="489A87A1" w:rsidR="008412A7" w:rsidRPr="008412A7" w:rsidRDefault="008412A7" w:rsidP="00D36403">
      <w:pPr>
        <w:widowControl w:val="0"/>
        <w:pBdr>
          <w:top w:val="nil"/>
          <w:left w:val="nil"/>
          <w:bottom w:val="nil"/>
          <w:right w:val="nil"/>
          <w:between w:val="nil"/>
        </w:pBdr>
        <w:ind w:left="709" w:right="11"/>
        <w:jc w:val="both"/>
        <w:rPr>
          <w:color w:val="000000" w:themeColor="text1"/>
          <w:lang w:val="sv-SE"/>
        </w:rPr>
      </w:pPr>
      <w:r w:rsidRPr="008412A7">
        <w:rPr>
          <w:color w:val="000000" w:themeColor="text1"/>
          <w:lang w:val="sv-SE"/>
        </w:rPr>
        <w:t>Isotretinoin and azithromycin with dosage 5 mg/day and 500 mg /day</w:t>
      </w:r>
      <w:r w:rsidR="002361C4">
        <w:rPr>
          <w:color w:val="000000" w:themeColor="text1"/>
          <w:lang w:val="sv-SE"/>
        </w:rPr>
        <w:t xml:space="preserve"> </w:t>
      </w:r>
      <w:r w:rsidRPr="008412A7">
        <w:rPr>
          <w:color w:val="000000" w:themeColor="text1"/>
          <w:lang w:val="sv-SE"/>
        </w:rPr>
        <w:t>respectively.</w:t>
      </w:r>
    </w:p>
    <w:p w14:paraId="2DBF6CFE" w14:textId="5392D680"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One study used a topical treatment, i.e., 20% azelaic acid cream, in combination with oral drugs</w:t>
      </w:r>
      <w:r w:rsidR="00FE3A15">
        <w:rPr>
          <w:color w:val="000000" w:themeColor="text1"/>
          <w:lang w:val="sv-SE"/>
        </w:rPr>
        <w:t xml:space="preserve"> (Van Thai et al, 2019). </w:t>
      </w:r>
      <w:r w:rsidRPr="008412A7">
        <w:rPr>
          <w:color w:val="000000" w:themeColor="text1"/>
          <w:lang w:val="sv-SE"/>
        </w:rPr>
        <w:t>However, as topical drugs are not the main treatment in moderate to severe acne vulgaris, the treatments containing azelaic acid cream were considered to be in the same treatment group as the corresponding oral treatments without azelaic cream in the meta-analyses.</w:t>
      </w:r>
    </w:p>
    <w:p w14:paraId="0B10868F" w14:textId="5D457399"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 xml:space="preserve"> Isotretinoin was the most common comparator, which was found in 5 studies, followed by isotretinoin plus oral azithromycin that was found in 1 study. Meanwhile for intervention, most studies used an antihistamine plus isotretinoin, that was found in 5 studies. Only 1 study used antihistamine plus azithromycin and isotretinoin combination.</w:t>
      </w:r>
    </w:p>
    <w:p w14:paraId="2151B022" w14:textId="21BB0C3C" w:rsidR="00850F0C"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All of the included studies were 2-armed RCTs. Three studies compared levocetirizine plus isotretinoin (with or without topical azelaic acid cream) to isotretinoin (with or without topical azelaic acid cream), 2 studies compared desloratadine plus isotretinoin to isotretinoin, and 1 study compared desloratadine plus azithromycin and isotretinoin combination to azithromycin plus isotretinoin. Furthermore, most studies used 12 weeks of treatment duration, which were reported in 4 studies</w:t>
      </w:r>
      <w:r w:rsidR="00FE3A15">
        <w:rPr>
          <w:color w:val="000000" w:themeColor="text1"/>
          <w:lang w:val="sv-SE"/>
        </w:rPr>
        <w:t xml:space="preserve"> (Lee et al, 2014; Pandey &amp; Agrawal, 2019; Van Thai, 2019; Dhaher and Jasim, 2018) </w:t>
      </w:r>
      <w:r w:rsidRPr="008412A7">
        <w:rPr>
          <w:color w:val="000000" w:themeColor="text1"/>
          <w:lang w:val="sv-SE"/>
        </w:rPr>
        <w:t>and 2 studies</w:t>
      </w:r>
      <w:r w:rsidR="00FE3A15">
        <w:rPr>
          <w:color w:val="000000" w:themeColor="text1"/>
          <w:lang w:val="sv-SE"/>
        </w:rPr>
        <w:t xml:space="preserve"> (Yosef et al, 2017; Van Thuong, 2019)</w:t>
      </w:r>
      <w:r w:rsidRPr="008412A7">
        <w:rPr>
          <w:color w:val="000000" w:themeColor="text1"/>
          <w:lang w:val="sv-SE"/>
        </w:rPr>
        <w:t xml:space="preserve"> used 16 weeks of treatment duration.</w:t>
      </w:r>
    </w:p>
    <w:p w14:paraId="221C1954" w14:textId="77777777" w:rsidR="00C432CC" w:rsidRDefault="00C432CC" w:rsidP="008412A7">
      <w:pPr>
        <w:widowControl w:val="0"/>
        <w:pBdr>
          <w:top w:val="nil"/>
          <w:left w:val="nil"/>
          <w:bottom w:val="nil"/>
          <w:right w:val="nil"/>
          <w:between w:val="nil"/>
        </w:pBdr>
        <w:ind w:right="11" w:firstLine="720"/>
        <w:jc w:val="both"/>
        <w:rPr>
          <w:color w:val="000000" w:themeColor="text1"/>
          <w:lang w:val="sv-SE"/>
        </w:rPr>
      </w:pPr>
    </w:p>
    <w:p w14:paraId="6BB7D695" w14:textId="27B2FC68" w:rsidR="008412A7" w:rsidRPr="008412A7" w:rsidRDefault="008412A7" w:rsidP="008412A7">
      <w:pPr>
        <w:widowControl w:val="0"/>
        <w:pBdr>
          <w:top w:val="nil"/>
          <w:left w:val="nil"/>
          <w:bottom w:val="nil"/>
          <w:right w:val="nil"/>
          <w:between w:val="nil"/>
        </w:pBdr>
        <w:ind w:right="11"/>
        <w:jc w:val="both"/>
        <w:rPr>
          <w:b/>
          <w:bCs/>
          <w:color w:val="000000" w:themeColor="text1"/>
          <w:lang w:val="sv-SE"/>
        </w:rPr>
      </w:pPr>
      <w:r w:rsidRPr="008412A7">
        <w:rPr>
          <w:b/>
          <w:bCs/>
          <w:color w:val="000000" w:themeColor="text1"/>
          <w:lang w:val="sv-SE"/>
        </w:rPr>
        <w:t>Discussion</w:t>
      </w:r>
    </w:p>
    <w:p w14:paraId="35045E21" w14:textId="77777777"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To compare treatment effects of H1-antihistamines on acne, including 3 of combination of H1-antihistamines and other treatments, the systematic review and NMA was performed. Six studies met the eligibility criteria and included in data pooling on 7 outcomes. The results can be summarized as follows.</w:t>
      </w:r>
    </w:p>
    <w:p w14:paraId="39404A75" w14:textId="20455BDA" w:rsidR="008412A7" w:rsidRDefault="008412A7" w:rsidP="002361C4">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In pairwise meta-analysis of levocetirizine + isotretinoin vs isotretinoin alone, the pooled USMD (95% CI) results of non-inflammatory and inflammatory lesion counts, and severity score, were -2.53 (-4.38, -0.68), -3.19 (-4.83, -1.55), and -3.63 (-5.25, -2.02), respectively. Meanwhile, the pooled RR (95% CI) results from pairwise meta-analysis of levocetirizine + isotretinoin vs isotretinoin alone of acne flare and mucocutaneous adverse events were 0.59 (0.10, 3.29) and 0.99 (0.96, 1.03), respectively. Authors found difficulties to find the covariables that may contribute in heterogeneity, because some meta-regression results showed error and others failed to produce ≥ 50% reduction of τ2. In NMA, the pooled mean difference (95% CI) of non-inflammatory lesion count, inflammatory lesion count, and severity score for desloratadine + isotretinoin treatment was -12.14 (-18.71, -5.56), -4.09 (-9.52, 1.34), and -3.24 (-5.09, -1.39) respectively compared to isotretinoin alone. Meanwhile, for levocetirizine + isotretinoin, the pooled mean difference (95% CI) of each outcome respectively, was -2.64 (-5.06, -0.22), -3.36 (-7.72, 0.99), and -3.63 (-5.25, -2.02), compared to isotretinoin alone. Finally, the result of pooled mean difference (95% CI) of each outcome was -9.50 (-16.50, -2.49), 0.73 (-7.65, 6.20), and 0.39 (-2.06, 2.85) respectively, for desloratadine + isotretinoin compared with levocetirizine + isotretinoin. The pooled RR (95% CI) of acne flare, mucocutaneous adverse events, and patient satisfaction for desloratadine + isotretinoin was 0.17 (0.01, 6.15), 0.41 (0.12, 1.46), and 1.64 (0.88, 3.05) respectively compared to isotretinoin alone. Meanwhile, for levocetirizine + isotretinoin, the pooled RR (95% CI) of each outcome</w:t>
      </w:r>
      <w:r>
        <w:rPr>
          <w:color w:val="000000" w:themeColor="text1"/>
          <w:lang w:val="sv-SE"/>
        </w:rPr>
        <w:t xml:space="preserve"> </w:t>
      </w:r>
      <w:r w:rsidRPr="008412A7">
        <w:rPr>
          <w:color w:val="000000" w:themeColor="text1"/>
          <w:lang w:val="sv-SE"/>
        </w:rPr>
        <w:t>respectively, was 0.58 (0.08, 4.01), 0.90 (0.45, 1.80), and 1.10 (0.77, 1.57), compared to isotretinoin alone. Lastly, the result of pooled RR (95% CI) of each outcome was 0.29 (0.01, 17.41), 0.46 (0.11, 1.93), and 1.49 (0.73, 3.06) respectively, for</w:t>
      </w:r>
      <w:r w:rsidR="002361C4">
        <w:rPr>
          <w:color w:val="000000" w:themeColor="text1"/>
          <w:lang w:val="sv-SE"/>
        </w:rPr>
        <w:t xml:space="preserve"> </w:t>
      </w:r>
      <w:r w:rsidRPr="008412A7">
        <w:rPr>
          <w:color w:val="000000" w:themeColor="text1"/>
          <w:lang w:val="sv-SE"/>
        </w:rPr>
        <w:t>desloratadine + isotretinoin compared with levocetirizine + isotretinoin. Based on</w:t>
      </w:r>
      <w:r w:rsidR="00EF2784">
        <w:rPr>
          <w:color w:val="000000" w:themeColor="text1"/>
          <w:lang w:val="sv-SE"/>
        </w:rPr>
        <w:t xml:space="preserve"> </w:t>
      </w:r>
      <w:r w:rsidR="00EF2784" w:rsidRPr="00EF2784">
        <w:rPr>
          <w:color w:val="000000" w:themeColor="text1"/>
          <w:lang w:val="sv-SE"/>
        </w:rPr>
        <w:t>surface under the cumulative ranking curve</w:t>
      </w:r>
      <w:r w:rsidRPr="008412A7">
        <w:rPr>
          <w:color w:val="000000" w:themeColor="text1"/>
          <w:lang w:val="sv-SE"/>
        </w:rPr>
        <w:t xml:space="preserve"> </w:t>
      </w:r>
      <w:r w:rsidR="00EF2784">
        <w:rPr>
          <w:color w:val="000000" w:themeColor="text1"/>
          <w:lang w:val="sv-SE"/>
        </w:rPr>
        <w:t>(</w:t>
      </w:r>
      <w:r w:rsidRPr="008412A7">
        <w:rPr>
          <w:color w:val="000000" w:themeColor="text1"/>
          <w:lang w:val="sv-SE"/>
        </w:rPr>
        <w:t>SUCRA</w:t>
      </w:r>
      <w:r w:rsidR="00EF2784">
        <w:rPr>
          <w:color w:val="000000" w:themeColor="text1"/>
          <w:lang w:val="sv-SE"/>
        </w:rPr>
        <w:t>)</w:t>
      </w:r>
      <w:r w:rsidRPr="008412A7">
        <w:rPr>
          <w:color w:val="000000" w:themeColor="text1"/>
          <w:lang w:val="sv-SE"/>
        </w:rPr>
        <w:t xml:space="preserve"> score, desloratadine + isotretinoin has lowest mucocutaneous adverse events and acne flare, and reduced most non-inflammatory and inflammatory lesion counts, followed by levocetirizine + isotretinoin. In contrast, levocetirizine + isotretinoin has reduce most severity score, followed by desloratadine + isotretinoin. Isotretinoin alone had lowest performance for all outcomes.</w:t>
      </w:r>
    </w:p>
    <w:p w14:paraId="474F605F" w14:textId="77777777" w:rsidR="00E510CF" w:rsidRDefault="00E510CF" w:rsidP="002361C4">
      <w:pPr>
        <w:widowControl w:val="0"/>
        <w:pBdr>
          <w:top w:val="nil"/>
          <w:left w:val="nil"/>
          <w:bottom w:val="nil"/>
          <w:right w:val="nil"/>
          <w:between w:val="nil"/>
        </w:pBdr>
        <w:ind w:right="11" w:firstLine="720"/>
        <w:jc w:val="both"/>
        <w:rPr>
          <w:color w:val="000000" w:themeColor="text1"/>
          <w:lang w:val="sv-SE"/>
        </w:rPr>
      </w:pPr>
    </w:p>
    <w:p w14:paraId="7E2AF3DB" w14:textId="50DA249A" w:rsidR="00D36403" w:rsidRDefault="00D36403" w:rsidP="00E510CF">
      <w:pPr>
        <w:widowControl w:val="0"/>
        <w:pBdr>
          <w:top w:val="nil"/>
          <w:left w:val="nil"/>
          <w:bottom w:val="nil"/>
          <w:right w:val="nil"/>
          <w:between w:val="nil"/>
        </w:pBdr>
        <w:ind w:right="11"/>
        <w:jc w:val="center"/>
        <w:rPr>
          <w:color w:val="000000" w:themeColor="text1"/>
          <w:lang w:val="sv-SE"/>
        </w:rPr>
      </w:pPr>
      <w:r>
        <w:rPr>
          <w:noProof/>
          <w:sz w:val="20"/>
        </w:rPr>
        <w:drawing>
          <wp:inline distT="0" distB="0" distL="0" distR="0" wp14:anchorId="5BBB0514" wp14:editId="30BEC801">
            <wp:extent cx="5230848" cy="170888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30848" cy="1708880"/>
                    </a:xfrm>
                    <a:prstGeom prst="rect">
                      <a:avLst/>
                    </a:prstGeom>
                  </pic:spPr>
                </pic:pic>
              </a:graphicData>
            </a:graphic>
          </wp:inline>
        </w:drawing>
      </w:r>
    </w:p>
    <w:p w14:paraId="53DA58D8" w14:textId="77777777" w:rsidR="002804A6" w:rsidRDefault="002804A6" w:rsidP="002804A6">
      <w:pPr>
        <w:widowControl w:val="0"/>
        <w:pBdr>
          <w:top w:val="nil"/>
          <w:left w:val="nil"/>
          <w:bottom w:val="nil"/>
          <w:right w:val="nil"/>
          <w:between w:val="nil"/>
        </w:pBdr>
        <w:ind w:right="11" w:firstLine="720"/>
        <w:jc w:val="both"/>
        <w:rPr>
          <w:color w:val="000000" w:themeColor="text1"/>
          <w:lang w:val="sv-SE"/>
        </w:rPr>
      </w:pPr>
    </w:p>
    <w:p w14:paraId="7A8F36AC" w14:textId="77777777" w:rsidR="002804A6" w:rsidRDefault="002804A6" w:rsidP="002804A6">
      <w:pPr>
        <w:widowControl w:val="0"/>
        <w:pBdr>
          <w:top w:val="nil"/>
          <w:left w:val="nil"/>
          <w:bottom w:val="nil"/>
          <w:right w:val="nil"/>
          <w:between w:val="nil"/>
        </w:pBdr>
        <w:ind w:right="11" w:firstLine="720"/>
        <w:jc w:val="center"/>
        <w:rPr>
          <w:b/>
          <w:bCs/>
          <w:color w:val="000000" w:themeColor="text1"/>
          <w:lang w:val="sv-SE"/>
        </w:rPr>
      </w:pPr>
      <w:r w:rsidRPr="00D36403">
        <w:rPr>
          <w:b/>
          <w:bCs/>
          <w:color w:val="000000" w:themeColor="text1"/>
          <w:lang w:val="sv-SE"/>
        </w:rPr>
        <w:t>Figure 2. Results for pairwise meta-analysis for non-inflammatory lesion count</w:t>
      </w:r>
    </w:p>
    <w:p w14:paraId="32ECEDF1" w14:textId="77777777" w:rsidR="00D36403" w:rsidRDefault="00D36403" w:rsidP="00D36403">
      <w:pPr>
        <w:widowControl w:val="0"/>
        <w:pBdr>
          <w:top w:val="nil"/>
          <w:left w:val="nil"/>
          <w:bottom w:val="nil"/>
          <w:right w:val="nil"/>
          <w:between w:val="nil"/>
        </w:pBdr>
        <w:ind w:right="11" w:firstLine="720"/>
        <w:jc w:val="center"/>
        <w:rPr>
          <w:color w:val="000000" w:themeColor="text1"/>
          <w:lang w:val="sv-SE"/>
        </w:rPr>
      </w:pPr>
    </w:p>
    <w:p w14:paraId="4212DAEB" w14:textId="30FA3566" w:rsidR="007367AC" w:rsidRDefault="00D36403" w:rsidP="00E510CF">
      <w:pPr>
        <w:widowControl w:val="0"/>
        <w:pBdr>
          <w:top w:val="nil"/>
          <w:left w:val="nil"/>
          <w:bottom w:val="nil"/>
          <w:right w:val="nil"/>
          <w:between w:val="nil"/>
        </w:pBdr>
        <w:ind w:right="11"/>
        <w:jc w:val="both"/>
        <w:rPr>
          <w:color w:val="000000" w:themeColor="text1"/>
          <w:lang w:val="sv-SE"/>
        </w:rPr>
      </w:pPr>
      <w:r>
        <w:rPr>
          <w:noProof/>
          <w:sz w:val="20"/>
        </w:rPr>
        <w:drawing>
          <wp:inline distT="0" distB="0" distL="0" distR="0" wp14:anchorId="09DF4A1F" wp14:editId="562B465A">
            <wp:extent cx="5182664" cy="17373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5182664" cy="1737360"/>
                    </a:xfrm>
                    <a:prstGeom prst="rect">
                      <a:avLst/>
                    </a:prstGeom>
                  </pic:spPr>
                </pic:pic>
              </a:graphicData>
            </a:graphic>
          </wp:inline>
        </w:drawing>
      </w:r>
    </w:p>
    <w:p w14:paraId="267ED4D6" w14:textId="77777777" w:rsidR="002804A6" w:rsidRPr="00D36403" w:rsidRDefault="002804A6" w:rsidP="002804A6">
      <w:pPr>
        <w:widowControl w:val="0"/>
        <w:pBdr>
          <w:top w:val="nil"/>
          <w:left w:val="nil"/>
          <w:bottom w:val="nil"/>
          <w:right w:val="nil"/>
          <w:between w:val="nil"/>
        </w:pBdr>
        <w:ind w:right="11" w:firstLine="720"/>
        <w:jc w:val="center"/>
        <w:rPr>
          <w:color w:val="000000" w:themeColor="text1"/>
          <w:lang w:val="sv-SE"/>
        </w:rPr>
      </w:pPr>
      <w:r w:rsidRPr="00D36403">
        <w:rPr>
          <w:b/>
          <w:bCs/>
          <w:color w:val="000000" w:themeColor="text1"/>
          <w:lang w:val="sv-SE"/>
        </w:rPr>
        <w:t>Figure 3.</w:t>
      </w:r>
      <w:r>
        <w:rPr>
          <w:color w:val="000000" w:themeColor="text1"/>
          <w:lang w:val="sv-SE"/>
        </w:rPr>
        <w:t xml:space="preserve"> </w:t>
      </w:r>
      <w:r w:rsidRPr="00D36403">
        <w:rPr>
          <w:b/>
          <w:bCs/>
          <w:color w:val="000000" w:themeColor="text1"/>
          <w:lang w:val="sv-SE"/>
        </w:rPr>
        <w:t>Results for pairwise meta-analysis for inflammatory lesion count</w:t>
      </w:r>
    </w:p>
    <w:p w14:paraId="0DF970F2" w14:textId="77777777" w:rsidR="00D36403" w:rsidRDefault="00D36403" w:rsidP="002361C4">
      <w:pPr>
        <w:widowControl w:val="0"/>
        <w:pBdr>
          <w:top w:val="nil"/>
          <w:left w:val="nil"/>
          <w:bottom w:val="nil"/>
          <w:right w:val="nil"/>
          <w:between w:val="nil"/>
        </w:pBdr>
        <w:ind w:right="11" w:firstLine="720"/>
        <w:jc w:val="both"/>
        <w:rPr>
          <w:color w:val="000000" w:themeColor="text1"/>
          <w:lang w:val="sv-SE"/>
        </w:rPr>
      </w:pPr>
    </w:p>
    <w:p w14:paraId="45F944EA" w14:textId="6A00BEB3" w:rsidR="00E54640" w:rsidRPr="008412A7" w:rsidRDefault="00E54640" w:rsidP="00E510CF">
      <w:pPr>
        <w:widowControl w:val="0"/>
        <w:pBdr>
          <w:top w:val="nil"/>
          <w:left w:val="nil"/>
          <w:bottom w:val="nil"/>
          <w:right w:val="nil"/>
          <w:between w:val="nil"/>
        </w:pBdr>
        <w:ind w:right="11" w:hanging="142"/>
        <w:jc w:val="both"/>
        <w:rPr>
          <w:color w:val="000000" w:themeColor="text1"/>
          <w:lang w:val="sv-SE"/>
        </w:rPr>
      </w:pPr>
      <w:r>
        <w:rPr>
          <w:noProof/>
          <w:sz w:val="20"/>
        </w:rPr>
        <w:drawing>
          <wp:inline distT="0" distB="0" distL="0" distR="0" wp14:anchorId="39A0B664" wp14:editId="6581F13E">
            <wp:extent cx="5280044" cy="179793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5280044" cy="1797939"/>
                    </a:xfrm>
                    <a:prstGeom prst="rect">
                      <a:avLst/>
                    </a:prstGeom>
                  </pic:spPr>
                </pic:pic>
              </a:graphicData>
            </a:graphic>
          </wp:inline>
        </w:drawing>
      </w:r>
    </w:p>
    <w:p w14:paraId="22AE40C3" w14:textId="77777777" w:rsidR="002804A6" w:rsidRDefault="002804A6" w:rsidP="002804A6">
      <w:pPr>
        <w:widowControl w:val="0"/>
        <w:pBdr>
          <w:top w:val="nil"/>
          <w:left w:val="nil"/>
          <w:bottom w:val="nil"/>
          <w:right w:val="nil"/>
          <w:between w:val="nil"/>
        </w:pBdr>
        <w:ind w:right="11" w:firstLine="720"/>
        <w:jc w:val="center"/>
        <w:rPr>
          <w:b/>
          <w:bCs/>
          <w:color w:val="000000" w:themeColor="text1"/>
          <w:lang w:val="sv-SE"/>
        </w:rPr>
      </w:pPr>
      <w:r w:rsidRPr="00E54640">
        <w:rPr>
          <w:b/>
          <w:bCs/>
          <w:color w:val="000000" w:themeColor="text1"/>
          <w:lang w:val="sv-SE"/>
        </w:rPr>
        <w:t xml:space="preserve">Figure 4. </w:t>
      </w:r>
      <w:r w:rsidRPr="00D36403">
        <w:rPr>
          <w:b/>
          <w:bCs/>
          <w:color w:val="000000" w:themeColor="text1"/>
          <w:lang w:val="sv-SE"/>
        </w:rPr>
        <w:t xml:space="preserve">Results for pairwise meta-analysis for </w:t>
      </w:r>
      <w:r>
        <w:rPr>
          <w:b/>
          <w:bCs/>
          <w:color w:val="000000" w:themeColor="text1"/>
          <w:lang w:val="sv-SE"/>
        </w:rPr>
        <w:t>acne severity score</w:t>
      </w:r>
    </w:p>
    <w:p w14:paraId="19336A3F" w14:textId="77777777" w:rsidR="00E54640" w:rsidRDefault="00E54640" w:rsidP="00E54640">
      <w:pPr>
        <w:widowControl w:val="0"/>
        <w:pBdr>
          <w:top w:val="nil"/>
          <w:left w:val="nil"/>
          <w:bottom w:val="nil"/>
          <w:right w:val="nil"/>
          <w:between w:val="nil"/>
        </w:pBdr>
        <w:ind w:right="11" w:firstLine="720"/>
        <w:jc w:val="center"/>
        <w:rPr>
          <w:b/>
          <w:bCs/>
          <w:color w:val="000000" w:themeColor="text1"/>
          <w:lang w:val="sv-SE"/>
        </w:rPr>
      </w:pPr>
    </w:p>
    <w:p w14:paraId="39B47EFB" w14:textId="1C652DA1" w:rsidR="00E54640" w:rsidRDefault="00E54640" w:rsidP="00E510CF">
      <w:pPr>
        <w:widowControl w:val="0"/>
        <w:pBdr>
          <w:top w:val="nil"/>
          <w:left w:val="nil"/>
          <w:bottom w:val="nil"/>
          <w:right w:val="nil"/>
          <w:between w:val="nil"/>
        </w:pBdr>
        <w:ind w:right="11"/>
        <w:jc w:val="center"/>
        <w:rPr>
          <w:b/>
          <w:bCs/>
          <w:color w:val="000000" w:themeColor="text1"/>
          <w:lang w:val="sv-SE"/>
        </w:rPr>
      </w:pPr>
      <w:r>
        <w:rPr>
          <w:noProof/>
          <w:sz w:val="20"/>
        </w:rPr>
        <w:drawing>
          <wp:inline distT="0" distB="0" distL="0" distR="0" wp14:anchorId="24DAAF0C" wp14:editId="747A3201">
            <wp:extent cx="5317649" cy="2040254"/>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3" cstate="print"/>
                    <a:stretch>
                      <a:fillRect/>
                    </a:stretch>
                  </pic:blipFill>
                  <pic:spPr>
                    <a:xfrm>
                      <a:off x="0" y="0"/>
                      <a:ext cx="5317649" cy="2040254"/>
                    </a:xfrm>
                    <a:prstGeom prst="rect">
                      <a:avLst/>
                    </a:prstGeom>
                  </pic:spPr>
                </pic:pic>
              </a:graphicData>
            </a:graphic>
          </wp:inline>
        </w:drawing>
      </w:r>
      <w:r w:rsidR="002804A6" w:rsidRPr="002804A6">
        <w:rPr>
          <w:b/>
          <w:bCs/>
          <w:color w:val="000000" w:themeColor="text1"/>
          <w:lang w:val="sv-SE"/>
        </w:rPr>
        <w:t xml:space="preserve"> </w:t>
      </w:r>
      <w:r w:rsidR="002804A6">
        <w:rPr>
          <w:b/>
          <w:bCs/>
          <w:color w:val="000000" w:themeColor="text1"/>
          <w:lang w:val="sv-SE"/>
        </w:rPr>
        <w:t xml:space="preserve">Figure 5. </w:t>
      </w:r>
      <w:r w:rsidR="002804A6" w:rsidRPr="00D36403">
        <w:rPr>
          <w:b/>
          <w:bCs/>
          <w:color w:val="000000" w:themeColor="text1"/>
          <w:lang w:val="sv-SE"/>
        </w:rPr>
        <w:t xml:space="preserve">Results for pairwise meta-analysis for </w:t>
      </w:r>
      <w:r w:rsidR="002804A6">
        <w:rPr>
          <w:b/>
          <w:bCs/>
          <w:color w:val="000000" w:themeColor="text1"/>
          <w:lang w:val="sv-SE"/>
        </w:rPr>
        <w:t>acne flare</w:t>
      </w:r>
    </w:p>
    <w:p w14:paraId="5F5030EF" w14:textId="23A3C324" w:rsidR="00E54640" w:rsidRDefault="00E54640" w:rsidP="008412A7">
      <w:pPr>
        <w:widowControl w:val="0"/>
        <w:pBdr>
          <w:top w:val="nil"/>
          <w:left w:val="nil"/>
          <w:bottom w:val="nil"/>
          <w:right w:val="nil"/>
          <w:between w:val="nil"/>
        </w:pBdr>
        <w:ind w:right="11"/>
        <w:jc w:val="both"/>
        <w:rPr>
          <w:b/>
          <w:bCs/>
          <w:color w:val="000000" w:themeColor="text1"/>
          <w:lang w:val="sv-SE"/>
        </w:rPr>
      </w:pPr>
    </w:p>
    <w:p w14:paraId="55FBFE81" w14:textId="59D02B3E" w:rsidR="00E54640" w:rsidRDefault="00E54640" w:rsidP="00E54640">
      <w:pPr>
        <w:widowControl w:val="0"/>
        <w:pBdr>
          <w:top w:val="nil"/>
          <w:left w:val="nil"/>
          <w:bottom w:val="nil"/>
          <w:right w:val="nil"/>
          <w:between w:val="nil"/>
        </w:pBdr>
        <w:ind w:right="11"/>
        <w:jc w:val="center"/>
        <w:rPr>
          <w:b/>
          <w:bCs/>
          <w:color w:val="000000" w:themeColor="text1"/>
          <w:lang w:val="sv-SE"/>
        </w:rPr>
      </w:pPr>
    </w:p>
    <w:p w14:paraId="2AEA1F71" w14:textId="066664AD" w:rsidR="00E54640" w:rsidRDefault="00E54640" w:rsidP="00E54640">
      <w:pPr>
        <w:widowControl w:val="0"/>
        <w:pBdr>
          <w:top w:val="nil"/>
          <w:left w:val="nil"/>
          <w:bottom w:val="nil"/>
          <w:right w:val="nil"/>
          <w:between w:val="nil"/>
        </w:pBdr>
        <w:ind w:right="11"/>
        <w:jc w:val="center"/>
        <w:rPr>
          <w:b/>
          <w:bCs/>
          <w:color w:val="000000" w:themeColor="text1"/>
          <w:lang w:val="sv-SE"/>
        </w:rPr>
      </w:pPr>
      <w:r>
        <w:rPr>
          <w:noProof/>
          <w:sz w:val="20"/>
        </w:rPr>
        <w:drawing>
          <wp:inline distT="0" distB="0" distL="0" distR="0" wp14:anchorId="0B3DE8D3" wp14:editId="61199C39">
            <wp:extent cx="5240701" cy="1735835"/>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4" cstate="print"/>
                    <a:stretch>
                      <a:fillRect/>
                    </a:stretch>
                  </pic:blipFill>
                  <pic:spPr>
                    <a:xfrm>
                      <a:off x="0" y="0"/>
                      <a:ext cx="5240701" cy="1735835"/>
                    </a:xfrm>
                    <a:prstGeom prst="rect">
                      <a:avLst/>
                    </a:prstGeom>
                  </pic:spPr>
                </pic:pic>
              </a:graphicData>
            </a:graphic>
          </wp:inline>
        </w:drawing>
      </w:r>
      <w:r w:rsidR="002804A6" w:rsidRPr="002804A6">
        <w:rPr>
          <w:b/>
          <w:bCs/>
          <w:color w:val="000000" w:themeColor="text1"/>
          <w:lang w:val="sv-SE"/>
        </w:rPr>
        <w:t xml:space="preserve"> </w:t>
      </w:r>
      <w:r w:rsidR="002804A6">
        <w:rPr>
          <w:b/>
          <w:bCs/>
          <w:color w:val="000000" w:themeColor="text1"/>
          <w:lang w:val="sv-SE"/>
        </w:rPr>
        <w:t xml:space="preserve">Figure 6. </w:t>
      </w:r>
      <w:r w:rsidR="002804A6" w:rsidRPr="00D36403">
        <w:rPr>
          <w:b/>
          <w:bCs/>
          <w:color w:val="000000" w:themeColor="text1"/>
          <w:lang w:val="sv-SE"/>
        </w:rPr>
        <w:t>Results for pairwise meta-analysis for</w:t>
      </w:r>
      <w:r w:rsidR="002804A6">
        <w:rPr>
          <w:b/>
          <w:bCs/>
          <w:color w:val="000000" w:themeColor="text1"/>
          <w:lang w:val="sv-SE"/>
        </w:rPr>
        <w:t xml:space="preserve"> mucocutaneous adverse events</w:t>
      </w:r>
    </w:p>
    <w:p w14:paraId="0C03C562" w14:textId="77777777" w:rsidR="00E54640" w:rsidRDefault="00E54640" w:rsidP="00E54640">
      <w:pPr>
        <w:widowControl w:val="0"/>
        <w:pBdr>
          <w:top w:val="nil"/>
          <w:left w:val="nil"/>
          <w:bottom w:val="nil"/>
          <w:right w:val="nil"/>
          <w:between w:val="nil"/>
        </w:pBdr>
        <w:ind w:right="11"/>
        <w:jc w:val="center"/>
        <w:rPr>
          <w:b/>
          <w:bCs/>
          <w:color w:val="000000" w:themeColor="text1"/>
          <w:lang w:val="sv-SE"/>
        </w:rPr>
      </w:pPr>
    </w:p>
    <w:p w14:paraId="799883F5"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2E3CE554" w14:textId="77777777" w:rsidR="00E510CF" w:rsidRDefault="00E510CF" w:rsidP="00E54640">
      <w:pPr>
        <w:widowControl w:val="0"/>
        <w:pBdr>
          <w:top w:val="nil"/>
          <w:left w:val="nil"/>
          <w:bottom w:val="nil"/>
          <w:right w:val="nil"/>
          <w:between w:val="nil"/>
        </w:pBdr>
        <w:ind w:right="11"/>
        <w:jc w:val="center"/>
        <w:rPr>
          <w:b/>
          <w:bCs/>
          <w:color w:val="000000" w:themeColor="text1"/>
          <w:lang w:val="sv-SE"/>
        </w:rPr>
      </w:pPr>
    </w:p>
    <w:p w14:paraId="78671D20" w14:textId="77777777" w:rsidR="00E510CF" w:rsidRDefault="00E510CF" w:rsidP="00E54640">
      <w:pPr>
        <w:widowControl w:val="0"/>
        <w:pBdr>
          <w:top w:val="nil"/>
          <w:left w:val="nil"/>
          <w:bottom w:val="nil"/>
          <w:right w:val="nil"/>
          <w:between w:val="nil"/>
        </w:pBdr>
        <w:ind w:right="11"/>
        <w:jc w:val="center"/>
        <w:rPr>
          <w:b/>
          <w:bCs/>
          <w:color w:val="000000" w:themeColor="text1"/>
          <w:lang w:val="sv-SE"/>
        </w:rPr>
      </w:pPr>
    </w:p>
    <w:p w14:paraId="29AD710F"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3D052EAF"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50E8D30B"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7097521D"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4FD3FEEC"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593E9A3E" w14:textId="77777777" w:rsidR="002804A6" w:rsidRDefault="002804A6" w:rsidP="00E54640">
      <w:pPr>
        <w:widowControl w:val="0"/>
        <w:pBdr>
          <w:top w:val="nil"/>
          <w:left w:val="nil"/>
          <w:bottom w:val="nil"/>
          <w:right w:val="nil"/>
          <w:between w:val="nil"/>
        </w:pBdr>
        <w:ind w:right="11"/>
        <w:jc w:val="center"/>
        <w:rPr>
          <w:b/>
          <w:bCs/>
          <w:color w:val="000000" w:themeColor="text1"/>
          <w:lang w:val="sv-SE"/>
        </w:rPr>
      </w:pPr>
    </w:p>
    <w:p w14:paraId="07D638A1" w14:textId="12E794A8" w:rsidR="00B6312F" w:rsidRDefault="00E54640" w:rsidP="00E54640">
      <w:pPr>
        <w:widowControl w:val="0"/>
        <w:pBdr>
          <w:top w:val="nil"/>
          <w:left w:val="nil"/>
          <w:bottom w:val="nil"/>
          <w:right w:val="nil"/>
          <w:between w:val="nil"/>
        </w:pBdr>
        <w:ind w:right="11"/>
        <w:jc w:val="center"/>
        <w:rPr>
          <w:b/>
          <w:bCs/>
          <w:color w:val="000000" w:themeColor="text1"/>
          <w:lang w:val="sv-SE"/>
        </w:rPr>
      </w:pPr>
      <w:r>
        <w:rPr>
          <w:b/>
          <w:bCs/>
          <w:color w:val="000000" w:themeColor="text1"/>
          <w:lang w:val="sv-SE"/>
        </w:rPr>
        <w:t>Table 2</w:t>
      </w:r>
      <w:bookmarkStart w:id="4" w:name="_Hlk148802267"/>
      <w:r w:rsidR="002804A6">
        <w:rPr>
          <w:b/>
          <w:bCs/>
          <w:color w:val="000000" w:themeColor="text1"/>
          <w:lang w:val="sv-SE"/>
        </w:rPr>
        <w:t xml:space="preserve"> </w:t>
      </w:r>
      <w:r w:rsidR="00B6312F">
        <w:rPr>
          <w:b/>
          <w:bCs/>
          <w:color w:val="000000" w:themeColor="text1"/>
          <w:lang w:val="sv-SE"/>
        </w:rPr>
        <w:t>Unstandardized mean difference of all treatment comparisons for non-inflammatory lesion count estimated from network meta-analysis</w:t>
      </w:r>
      <w:bookmarkEnd w:id="4"/>
    </w:p>
    <w:tbl>
      <w:tblPr>
        <w:tblW w:w="0" w:type="auto"/>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551"/>
        <w:gridCol w:w="1689"/>
        <w:gridCol w:w="1989"/>
        <w:gridCol w:w="1765"/>
      </w:tblGrid>
      <w:tr w:rsidR="00B6312F" w14:paraId="3AAC22EE" w14:textId="77777777" w:rsidTr="0039450E">
        <w:trPr>
          <w:trHeight w:val="431"/>
          <w:jc w:val="center"/>
        </w:trPr>
        <w:tc>
          <w:tcPr>
            <w:tcW w:w="2551" w:type="dxa"/>
            <w:vMerge w:val="restart"/>
          </w:tcPr>
          <w:p w14:paraId="404732C8" w14:textId="77777777" w:rsidR="00B6312F" w:rsidRDefault="00B6312F" w:rsidP="001E22AC">
            <w:pPr>
              <w:pStyle w:val="TableParagraph"/>
              <w:spacing w:line="360" w:lineRule="auto"/>
              <w:ind w:left="908" w:right="645" w:hanging="245"/>
              <w:rPr>
                <w:b/>
                <w:sz w:val="24"/>
              </w:rPr>
            </w:pPr>
            <w:r>
              <w:rPr>
                <w:b/>
                <w:spacing w:val="-1"/>
                <w:sz w:val="24"/>
              </w:rPr>
              <w:t>Reference</w:t>
            </w:r>
            <w:r>
              <w:rPr>
                <w:b/>
                <w:spacing w:val="-57"/>
                <w:sz w:val="24"/>
              </w:rPr>
              <w:t xml:space="preserve"> </w:t>
            </w:r>
            <w:r>
              <w:rPr>
                <w:b/>
                <w:sz w:val="24"/>
              </w:rPr>
              <w:t>Drug</w:t>
            </w:r>
          </w:p>
        </w:tc>
        <w:tc>
          <w:tcPr>
            <w:tcW w:w="1689" w:type="dxa"/>
          </w:tcPr>
          <w:p w14:paraId="067408A3" w14:textId="77777777" w:rsidR="00B6312F" w:rsidRDefault="00B6312F" w:rsidP="001E22AC">
            <w:pPr>
              <w:pStyle w:val="TableParagraph"/>
            </w:pPr>
          </w:p>
        </w:tc>
        <w:tc>
          <w:tcPr>
            <w:tcW w:w="1989" w:type="dxa"/>
          </w:tcPr>
          <w:p w14:paraId="2C7C10DC" w14:textId="77777777" w:rsidR="00B6312F" w:rsidRDefault="00B6312F" w:rsidP="001E22AC">
            <w:pPr>
              <w:pStyle w:val="TableParagraph"/>
              <w:spacing w:line="275" w:lineRule="exact"/>
              <w:ind w:left="595"/>
              <w:rPr>
                <w:b/>
                <w:sz w:val="24"/>
              </w:rPr>
            </w:pPr>
            <w:r>
              <w:rPr>
                <w:b/>
                <w:sz w:val="24"/>
              </w:rPr>
              <w:t>USMD</w:t>
            </w:r>
          </w:p>
        </w:tc>
        <w:tc>
          <w:tcPr>
            <w:tcW w:w="1765" w:type="dxa"/>
          </w:tcPr>
          <w:p w14:paraId="2E9F91E1" w14:textId="77777777" w:rsidR="00B6312F" w:rsidRDefault="00B6312F" w:rsidP="001E22AC">
            <w:pPr>
              <w:pStyle w:val="TableParagraph"/>
            </w:pPr>
          </w:p>
        </w:tc>
      </w:tr>
      <w:tr w:rsidR="00B6312F" w14:paraId="6DF8238B" w14:textId="77777777" w:rsidTr="0039450E">
        <w:trPr>
          <w:trHeight w:val="523"/>
          <w:jc w:val="center"/>
        </w:trPr>
        <w:tc>
          <w:tcPr>
            <w:tcW w:w="2551" w:type="dxa"/>
            <w:vMerge/>
          </w:tcPr>
          <w:p w14:paraId="78C4D528" w14:textId="77777777" w:rsidR="00B6312F" w:rsidRDefault="00B6312F" w:rsidP="001E22AC">
            <w:pPr>
              <w:rPr>
                <w:sz w:val="2"/>
                <w:szCs w:val="2"/>
              </w:rPr>
            </w:pPr>
          </w:p>
        </w:tc>
        <w:tc>
          <w:tcPr>
            <w:tcW w:w="1689" w:type="dxa"/>
          </w:tcPr>
          <w:p w14:paraId="3232516C" w14:textId="77777777" w:rsidR="00B6312F" w:rsidRDefault="00B6312F" w:rsidP="001E22AC">
            <w:pPr>
              <w:pStyle w:val="TableParagraph"/>
              <w:spacing w:line="275" w:lineRule="exact"/>
              <w:ind w:left="673" w:right="425"/>
              <w:jc w:val="center"/>
              <w:rPr>
                <w:b/>
                <w:sz w:val="24"/>
              </w:rPr>
            </w:pPr>
            <w:r>
              <w:rPr>
                <w:b/>
                <w:sz w:val="24"/>
              </w:rPr>
              <w:t>ISO</w:t>
            </w:r>
          </w:p>
        </w:tc>
        <w:tc>
          <w:tcPr>
            <w:tcW w:w="1989" w:type="dxa"/>
          </w:tcPr>
          <w:p w14:paraId="4F6A79AB" w14:textId="77777777" w:rsidR="00B6312F" w:rsidRDefault="00B6312F" w:rsidP="001E22AC">
            <w:pPr>
              <w:pStyle w:val="TableParagraph"/>
              <w:spacing w:line="275" w:lineRule="exact"/>
              <w:ind w:left="443"/>
              <w:rPr>
                <w:b/>
                <w:sz w:val="24"/>
              </w:rPr>
            </w:pPr>
            <w:r>
              <w:rPr>
                <w:b/>
                <w:sz w:val="24"/>
              </w:rPr>
              <w:t>ISO+LEVO</w:t>
            </w:r>
          </w:p>
        </w:tc>
        <w:tc>
          <w:tcPr>
            <w:tcW w:w="1765" w:type="dxa"/>
          </w:tcPr>
          <w:p w14:paraId="42CA825E" w14:textId="77777777" w:rsidR="00B6312F" w:rsidRDefault="00B6312F" w:rsidP="001E22AC">
            <w:pPr>
              <w:pStyle w:val="TableParagraph"/>
              <w:spacing w:line="275" w:lineRule="exact"/>
              <w:ind w:left="131" w:right="88"/>
              <w:jc w:val="center"/>
              <w:rPr>
                <w:b/>
                <w:sz w:val="24"/>
              </w:rPr>
            </w:pPr>
            <w:r>
              <w:rPr>
                <w:b/>
                <w:sz w:val="24"/>
              </w:rPr>
              <w:t>ISO+DESLO</w:t>
            </w:r>
          </w:p>
        </w:tc>
      </w:tr>
      <w:tr w:rsidR="00B6312F" w14:paraId="407C9AC6" w14:textId="77777777" w:rsidTr="0039450E">
        <w:trPr>
          <w:trHeight w:val="798"/>
          <w:jc w:val="center"/>
        </w:trPr>
        <w:tc>
          <w:tcPr>
            <w:tcW w:w="2551" w:type="dxa"/>
          </w:tcPr>
          <w:p w14:paraId="63786BB4" w14:textId="77777777" w:rsidR="00B6312F" w:rsidRDefault="00B6312F" w:rsidP="001E22AC">
            <w:pPr>
              <w:pStyle w:val="TableParagraph"/>
              <w:spacing w:line="275" w:lineRule="exact"/>
              <w:ind w:left="474" w:right="467"/>
              <w:jc w:val="center"/>
              <w:rPr>
                <w:b/>
                <w:sz w:val="24"/>
              </w:rPr>
            </w:pPr>
            <w:r>
              <w:rPr>
                <w:b/>
                <w:sz w:val="24"/>
              </w:rPr>
              <w:t>ISO</w:t>
            </w:r>
          </w:p>
        </w:tc>
        <w:tc>
          <w:tcPr>
            <w:tcW w:w="1689" w:type="dxa"/>
          </w:tcPr>
          <w:p w14:paraId="1DC8BAEC" w14:textId="77777777" w:rsidR="00B6312F" w:rsidRDefault="00B6312F" w:rsidP="001E22AC">
            <w:pPr>
              <w:pStyle w:val="TableParagraph"/>
              <w:spacing w:line="275" w:lineRule="exact"/>
              <w:ind w:left="669" w:right="425"/>
              <w:jc w:val="center"/>
              <w:rPr>
                <w:sz w:val="24"/>
              </w:rPr>
            </w:pPr>
            <w:r>
              <w:rPr>
                <w:sz w:val="24"/>
              </w:rPr>
              <w:t>1.0</w:t>
            </w:r>
          </w:p>
        </w:tc>
        <w:tc>
          <w:tcPr>
            <w:tcW w:w="1989" w:type="dxa"/>
          </w:tcPr>
          <w:p w14:paraId="38B7C41B" w14:textId="77777777" w:rsidR="00B6312F" w:rsidRDefault="00B6312F" w:rsidP="001E22AC">
            <w:pPr>
              <w:pStyle w:val="TableParagraph"/>
              <w:spacing w:line="275" w:lineRule="exact"/>
              <w:ind w:left="426" w:right="139"/>
              <w:jc w:val="center"/>
              <w:rPr>
                <w:sz w:val="24"/>
              </w:rPr>
            </w:pPr>
            <w:r>
              <w:rPr>
                <w:sz w:val="24"/>
              </w:rPr>
              <w:t>-2.64</w:t>
            </w:r>
          </w:p>
          <w:p w14:paraId="7CEB0783" w14:textId="77777777" w:rsidR="00B6312F" w:rsidRDefault="00B6312F" w:rsidP="001E22AC">
            <w:pPr>
              <w:pStyle w:val="TableParagraph"/>
              <w:spacing w:before="137"/>
              <w:ind w:left="429" w:right="139"/>
              <w:jc w:val="center"/>
              <w:rPr>
                <w:sz w:val="24"/>
              </w:rPr>
            </w:pPr>
            <w:r>
              <w:rPr>
                <w:sz w:val="24"/>
              </w:rPr>
              <w:t>(-5.06,-0.22)</w:t>
            </w:r>
          </w:p>
        </w:tc>
        <w:tc>
          <w:tcPr>
            <w:tcW w:w="1765" w:type="dxa"/>
          </w:tcPr>
          <w:p w14:paraId="5F8C2646" w14:textId="77777777" w:rsidR="00B6312F" w:rsidRDefault="00B6312F" w:rsidP="001E22AC">
            <w:pPr>
              <w:pStyle w:val="TableParagraph"/>
              <w:spacing w:line="275" w:lineRule="exact"/>
              <w:ind w:left="131" w:right="88"/>
              <w:jc w:val="center"/>
              <w:rPr>
                <w:sz w:val="24"/>
              </w:rPr>
            </w:pPr>
            <w:r>
              <w:rPr>
                <w:sz w:val="24"/>
              </w:rPr>
              <w:t>-12.14</w:t>
            </w:r>
          </w:p>
          <w:p w14:paraId="1EA524AC" w14:textId="77777777" w:rsidR="00B6312F" w:rsidRDefault="00B6312F" w:rsidP="001E22AC">
            <w:pPr>
              <w:pStyle w:val="TableParagraph"/>
              <w:spacing w:before="137"/>
              <w:ind w:left="129" w:right="88"/>
              <w:jc w:val="center"/>
              <w:rPr>
                <w:sz w:val="24"/>
              </w:rPr>
            </w:pPr>
            <w:r>
              <w:rPr>
                <w:sz w:val="24"/>
              </w:rPr>
              <w:t>(-18.71,-5.56)</w:t>
            </w:r>
          </w:p>
        </w:tc>
      </w:tr>
      <w:tr w:rsidR="00B6312F" w14:paraId="2AFF1FAF" w14:textId="77777777" w:rsidTr="0039450E">
        <w:trPr>
          <w:trHeight w:val="865"/>
          <w:jc w:val="center"/>
        </w:trPr>
        <w:tc>
          <w:tcPr>
            <w:tcW w:w="2551" w:type="dxa"/>
          </w:tcPr>
          <w:p w14:paraId="074A71EE" w14:textId="77777777" w:rsidR="00B6312F" w:rsidRDefault="00B6312F" w:rsidP="001E22AC">
            <w:pPr>
              <w:pStyle w:val="TableParagraph"/>
              <w:spacing w:before="64"/>
              <w:ind w:left="474" w:right="465"/>
              <w:jc w:val="center"/>
              <w:rPr>
                <w:b/>
                <w:sz w:val="24"/>
              </w:rPr>
            </w:pPr>
            <w:r>
              <w:rPr>
                <w:b/>
                <w:sz w:val="24"/>
              </w:rPr>
              <w:t>ISO+LEVO</w:t>
            </w:r>
          </w:p>
        </w:tc>
        <w:tc>
          <w:tcPr>
            <w:tcW w:w="1689" w:type="dxa"/>
          </w:tcPr>
          <w:p w14:paraId="4E015C53" w14:textId="77777777" w:rsidR="00B6312F" w:rsidRDefault="00B6312F" w:rsidP="001E22AC">
            <w:pPr>
              <w:pStyle w:val="TableParagraph"/>
            </w:pPr>
          </w:p>
        </w:tc>
        <w:tc>
          <w:tcPr>
            <w:tcW w:w="1989" w:type="dxa"/>
          </w:tcPr>
          <w:p w14:paraId="253FC414" w14:textId="77777777" w:rsidR="00B6312F" w:rsidRDefault="00B6312F" w:rsidP="001E22AC">
            <w:pPr>
              <w:pStyle w:val="TableParagraph"/>
              <w:spacing w:before="64"/>
              <w:ind w:left="849"/>
              <w:rPr>
                <w:sz w:val="24"/>
              </w:rPr>
            </w:pPr>
            <w:r>
              <w:rPr>
                <w:sz w:val="24"/>
              </w:rPr>
              <w:t>49.2</w:t>
            </w:r>
          </w:p>
        </w:tc>
        <w:tc>
          <w:tcPr>
            <w:tcW w:w="1765" w:type="dxa"/>
          </w:tcPr>
          <w:p w14:paraId="1A520AA2" w14:textId="77777777" w:rsidR="00B6312F" w:rsidRDefault="00B6312F" w:rsidP="001E22AC">
            <w:pPr>
              <w:pStyle w:val="TableParagraph"/>
              <w:spacing w:before="64"/>
              <w:ind w:left="131" w:right="88"/>
              <w:jc w:val="center"/>
              <w:rPr>
                <w:sz w:val="24"/>
              </w:rPr>
            </w:pPr>
            <w:r>
              <w:rPr>
                <w:sz w:val="24"/>
              </w:rPr>
              <w:t>-9.50</w:t>
            </w:r>
          </w:p>
          <w:p w14:paraId="586EBABF" w14:textId="77777777" w:rsidR="00B6312F" w:rsidRDefault="00B6312F" w:rsidP="001E22AC">
            <w:pPr>
              <w:pStyle w:val="TableParagraph"/>
              <w:spacing w:before="137"/>
              <w:ind w:left="129" w:right="88"/>
              <w:jc w:val="center"/>
              <w:rPr>
                <w:sz w:val="24"/>
              </w:rPr>
            </w:pPr>
            <w:r>
              <w:rPr>
                <w:sz w:val="24"/>
              </w:rPr>
              <w:t>(-16.50,-2.49)</w:t>
            </w:r>
          </w:p>
        </w:tc>
      </w:tr>
      <w:tr w:rsidR="00B6312F" w14:paraId="08342B1C" w14:textId="77777777" w:rsidTr="0039450E">
        <w:trPr>
          <w:trHeight w:val="498"/>
          <w:jc w:val="center"/>
        </w:trPr>
        <w:tc>
          <w:tcPr>
            <w:tcW w:w="2551" w:type="dxa"/>
          </w:tcPr>
          <w:p w14:paraId="186F3E70" w14:textId="77777777" w:rsidR="00B6312F" w:rsidRDefault="00B6312F" w:rsidP="001E22AC">
            <w:pPr>
              <w:pStyle w:val="TableParagraph"/>
              <w:spacing w:before="64"/>
              <w:ind w:left="474" w:right="467"/>
              <w:jc w:val="center"/>
              <w:rPr>
                <w:b/>
                <w:sz w:val="24"/>
              </w:rPr>
            </w:pPr>
            <w:r>
              <w:rPr>
                <w:b/>
                <w:sz w:val="24"/>
              </w:rPr>
              <w:t>ISO+DESLO</w:t>
            </w:r>
          </w:p>
        </w:tc>
        <w:tc>
          <w:tcPr>
            <w:tcW w:w="1689" w:type="dxa"/>
          </w:tcPr>
          <w:p w14:paraId="7EBB1B8F" w14:textId="77777777" w:rsidR="00B6312F" w:rsidRDefault="00B6312F" w:rsidP="001E22AC">
            <w:pPr>
              <w:pStyle w:val="TableParagraph"/>
            </w:pPr>
          </w:p>
        </w:tc>
        <w:tc>
          <w:tcPr>
            <w:tcW w:w="1989" w:type="dxa"/>
          </w:tcPr>
          <w:p w14:paraId="6B1D4B16" w14:textId="77777777" w:rsidR="00B6312F" w:rsidRDefault="00B6312F" w:rsidP="001E22AC">
            <w:pPr>
              <w:pStyle w:val="TableParagraph"/>
            </w:pPr>
          </w:p>
        </w:tc>
        <w:tc>
          <w:tcPr>
            <w:tcW w:w="1765" w:type="dxa"/>
          </w:tcPr>
          <w:p w14:paraId="5DD67ADC" w14:textId="77777777" w:rsidR="00B6312F" w:rsidRDefault="00B6312F" w:rsidP="001E22AC">
            <w:pPr>
              <w:pStyle w:val="TableParagraph"/>
              <w:spacing w:before="64"/>
              <w:ind w:left="129" w:right="88"/>
              <w:jc w:val="center"/>
              <w:rPr>
                <w:sz w:val="24"/>
              </w:rPr>
            </w:pPr>
            <w:r>
              <w:rPr>
                <w:sz w:val="24"/>
              </w:rPr>
              <w:t>99.8</w:t>
            </w:r>
          </w:p>
        </w:tc>
      </w:tr>
    </w:tbl>
    <w:p w14:paraId="67B65EC5" w14:textId="77777777" w:rsidR="00B6312F" w:rsidRDefault="00B6312F" w:rsidP="00B6312F">
      <w:pPr>
        <w:pStyle w:val="ListParagraph"/>
        <w:widowControl w:val="0"/>
        <w:numPr>
          <w:ilvl w:val="0"/>
          <w:numId w:val="21"/>
        </w:numPr>
        <w:tabs>
          <w:tab w:val="left" w:pos="758"/>
        </w:tabs>
        <w:autoSpaceDE w:val="0"/>
        <w:autoSpaceDN w:val="0"/>
        <w:ind w:right="255" w:firstLine="0"/>
        <w:contextualSpacing w:val="0"/>
        <w:jc w:val="both"/>
        <w:rPr>
          <w:sz w:val="16"/>
          <w:szCs w:val="16"/>
        </w:rPr>
      </w:pPr>
      <w:r w:rsidRPr="00B6312F">
        <w:rPr>
          <w:sz w:val="16"/>
          <w:szCs w:val="16"/>
        </w:rPr>
        <w:t>Values in each off-diagonal cell are USMD (95% CI) of non-inflammatory lesion</w:t>
      </w:r>
      <w:r w:rsidRPr="00B6312F">
        <w:rPr>
          <w:spacing w:val="1"/>
          <w:sz w:val="16"/>
          <w:szCs w:val="16"/>
        </w:rPr>
        <w:t xml:space="preserve"> </w:t>
      </w:r>
      <w:r w:rsidRPr="00B6312F">
        <w:rPr>
          <w:sz w:val="16"/>
          <w:szCs w:val="16"/>
        </w:rPr>
        <w:t>count from mixed treatment comparisons of treatment in column heading relative to</w:t>
      </w:r>
      <w:r w:rsidRPr="00B6312F">
        <w:rPr>
          <w:spacing w:val="1"/>
          <w:sz w:val="16"/>
          <w:szCs w:val="16"/>
        </w:rPr>
        <w:t xml:space="preserve"> </w:t>
      </w:r>
      <w:r w:rsidRPr="00B6312F">
        <w:rPr>
          <w:sz w:val="16"/>
          <w:szCs w:val="16"/>
        </w:rPr>
        <w:t>treatment</w:t>
      </w:r>
      <w:r w:rsidRPr="00B6312F">
        <w:rPr>
          <w:spacing w:val="1"/>
          <w:sz w:val="16"/>
          <w:szCs w:val="16"/>
        </w:rPr>
        <w:t xml:space="preserve"> </w:t>
      </w:r>
      <w:r w:rsidRPr="00B6312F">
        <w:rPr>
          <w:sz w:val="16"/>
          <w:szCs w:val="16"/>
        </w:rPr>
        <w:t>in row</w:t>
      </w:r>
      <w:r w:rsidRPr="00B6312F">
        <w:rPr>
          <w:spacing w:val="-2"/>
          <w:sz w:val="16"/>
          <w:szCs w:val="16"/>
        </w:rPr>
        <w:t xml:space="preserve"> </w:t>
      </w:r>
      <w:r w:rsidRPr="00B6312F">
        <w:rPr>
          <w:sz w:val="16"/>
          <w:szCs w:val="16"/>
        </w:rPr>
        <w:t>heading.</w:t>
      </w:r>
      <w:r w:rsidRPr="00B6312F">
        <w:rPr>
          <w:spacing w:val="2"/>
          <w:sz w:val="16"/>
          <w:szCs w:val="16"/>
        </w:rPr>
        <w:t xml:space="preserve"> </w:t>
      </w:r>
      <w:r w:rsidRPr="00B6312F">
        <w:rPr>
          <w:sz w:val="16"/>
          <w:szCs w:val="16"/>
        </w:rPr>
        <w:t>Each</w:t>
      </w:r>
      <w:r w:rsidRPr="00B6312F">
        <w:rPr>
          <w:spacing w:val="2"/>
          <w:sz w:val="16"/>
          <w:szCs w:val="16"/>
        </w:rPr>
        <w:t xml:space="preserve"> </w:t>
      </w:r>
      <w:r w:rsidRPr="00B6312F">
        <w:rPr>
          <w:sz w:val="16"/>
          <w:szCs w:val="16"/>
        </w:rPr>
        <w:t>diagonal</w:t>
      </w:r>
      <w:r w:rsidRPr="00B6312F">
        <w:rPr>
          <w:spacing w:val="4"/>
          <w:sz w:val="16"/>
          <w:szCs w:val="16"/>
        </w:rPr>
        <w:t xml:space="preserve"> </w:t>
      </w:r>
      <w:r w:rsidRPr="00B6312F">
        <w:rPr>
          <w:sz w:val="16"/>
          <w:szCs w:val="16"/>
        </w:rPr>
        <w:t>cell contains</w:t>
      </w:r>
      <w:r w:rsidRPr="00B6312F">
        <w:rPr>
          <w:spacing w:val="-1"/>
          <w:sz w:val="16"/>
          <w:szCs w:val="16"/>
        </w:rPr>
        <w:t xml:space="preserve"> </w:t>
      </w:r>
      <w:r w:rsidRPr="00B6312F">
        <w:rPr>
          <w:sz w:val="16"/>
          <w:szCs w:val="16"/>
        </w:rPr>
        <w:t>SUCRA.</w:t>
      </w:r>
    </w:p>
    <w:p w14:paraId="5C4E1927" w14:textId="77777777" w:rsidR="00B6312F" w:rsidRPr="00B6312F" w:rsidRDefault="00B6312F" w:rsidP="00B6312F">
      <w:pPr>
        <w:widowControl w:val="0"/>
        <w:tabs>
          <w:tab w:val="left" w:pos="758"/>
        </w:tabs>
        <w:autoSpaceDE w:val="0"/>
        <w:autoSpaceDN w:val="0"/>
        <w:ind w:right="255"/>
        <w:jc w:val="both"/>
        <w:rPr>
          <w:sz w:val="16"/>
          <w:szCs w:val="16"/>
        </w:rPr>
      </w:pPr>
    </w:p>
    <w:p w14:paraId="4A56F7A0" w14:textId="25D5A95B" w:rsidR="00E54640" w:rsidRDefault="00B6312F" w:rsidP="00E54640">
      <w:pPr>
        <w:widowControl w:val="0"/>
        <w:pBdr>
          <w:top w:val="nil"/>
          <w:left w:val="nil"/>
          <w:bottom w:val="nil"/>
          <w:right w:val="nil"/>
          <w:between w:val="nil"/>
        </w:pBdr>
        <w:ind w:right="11"/>
        <w:jc w:val="center"/>
        <w:rPr>
          <w:b/>
          <w:bCs/>
          <w:color w:val="000000" w:themeColor="text1"/>
          <w:lang w:val="sv-SE"/>
        </w:rPr>
      </w:pPr>
      <w:r>
        <w:rPr>
          <w:b/>
          <w:bCs/>
          <w:color w:val="000000" w:themeColor="text1"/>
          <w:lang w:val="sv-SE"/>
        </w:rPr>
        <w:t>Table 3</w:t>
      </w:r>
      <w:r w:rsidR="002804A6">
        <w:rPr>
          <w:b/>
          <w:bCs/>
          <w:color w:val="000000" w:themeColor="text1"/>
          <w:lang w:val="sv-SE"/>
        </w:rPr>
        <w:t xml:space="preserve"> </w:t>
      </w:r>
      <w:r w:rsidRPr="00B6312F">
        <w:rPr>
          <w:b/>
          <w:bCs/>
          <w:color w:val="000000" w:themeColor="text1"/>
          <w:lang w:val="sv-SE"/>
        </w:rPr>
        <w:t>Unstandardized mean difference of all treatment comparisons for inflammatory lesion count estimated from network meta-analysis</w:t>
      </w:r>
    </w:p>
    <w:tbl>
      <w:tblPr>
        <w:tblW w:w="8286" w:type="dxa"/>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395"/>
        <w:gridCol w:w="1543"/>
        <w:gridCol w:w="2322"/>
        <w:gridCol w:w="2026"/>
      </w:tblGrid>
      <w:tr w:rsidR="00B6312F" w14:paraId="2DFA6C11" w14:textId="77777777" w:rsidTr="0039450E">
        <w:trPr>
          <w:trHeight w:val="311"/>
          <w:jc w:val="center"/>
        </w:trPr>
        <w:tc>
          <w:tcPr>
            <w:tcW w:w="2395" w:type="dxa"/>
            <w:vMerge w:val="restart"/>
          </w:tcPr>
          <w:p w14:paraId="68DB69F8" w14:textId="77777777" w:rsidR="00B6312F" w:rsidRDefault="00B6312F" w:rsidP="002804A6">
            <w:pPr>
              <w:pStyle w:val="TableParagraph"/>
              <w:ind w:left="909" w:right="644" w:hanging="245"/>
              <w:rPr>
                <w:b/>
                <w:sz w:val="24"/>
              </w:rPr>
            </w:pPr>
            <w:r>
              <w:rPr>
                <w:b/>
                <w:spacing w:val="-1"/>
                <w:sz w:val="24"/>
              </w:rPr>
              <w:t>Reference</w:t>
            </w:r>
            <w:r>
              <w:rPr>
                <w:b/>
                <w:spacing w:val="-57"/>
                <w:sz w:val="24"/>
              </w:rPr>
              <w:t xml:space="preserve"> </w:t>
            </w:r>
            <w:r>
              <w:rPr>
                <w:b/>
                <w:sz w:val="24"/>
              </w:rPr>
              <w:t>Drug</w:t>
            </w:r>
          </w:p>
        </w:tc>
        <w:tc>
          <w:tcPr>
            <w:tcW w:w="1543" w:type="dxa"/>
          </w:tcPr>
          <w:p w14:paraId="447D391E" w14:textId="77777777" w:rsidR="00B6312F" w:rsidRDefault="00B6312F" w:rsidP="002804A6">
            <w:pPr>
              <w:pStyle w:val="TableParagraph"/>
            </w:pPr>
          </w:p>
        </w:tc>
        <w:tc>
          <w:tcPr>
            <w:tcW w:w="2322" w:type="dxa"/>
          </w:tcPr>
          <w:p w14:paraId="13050E91" w14:textId="77777777" w:rsidR="00B6312F" w:rsidRDefault="00B6312F" w:rsidP="002804A6">
            <w:pPr>
              <w:pStyle w:val="TableParagraph"/>
              <w:ind w:left="1018"/>
              <w:rPr>
                <w:b/>
                <w:sz w:val="24"/>
              </w:rPr>
            </w:pPr>
            <w:r>
              <w:rPr>
                <w:b/>
                <w:sz w:val="24"/>
              </w:rPr>
              <w:t>USMD</w:t>
            </w:r>
          </w:p>
        </w:tc>
        <w:tc>
          <w:tcPr>
            <w:tcW w:w="2026" w:type="dxa"/>
          </w:tcPr>
          <w:p w14:paraId="440C7BE9" w14:textId="77777777" w:rsidR="00B6312F" w:rsidRDefault="00B6312F" w:rsidP="002804A6">
            <w:pPr>
              <w:pStyle w:val="TableParagraph"/>
            </w:pPr>
          </w:p>
        </w:tc>
      </w:tr>
      <w:tr w:rsidR="00B6312F" w14:paraId="3250E2D9" w14:textId="77777777" w:rsidTr="0039450E">
        <w:trPr>
          <w:trHeight w:val="554"/>
          <w:jc w:val="center"/>
        </w:trPr>
        <w:tc>
          <w:tcPr>
            <w:tcW w:w="2395" w:type="dxa"/>
            <w:vMerge/>
          </w:tcPr>
          <w:p w14:paraId="7B109A85" w14:textId="77777777" w:rsidR="00B6312F" w:rsidRDefault="00B6312F" w:rsidP="002804A6">
            <w:pPr>
              <w:rPr>
                <w:sz w:val="2"/>
                <w:szCs w:val="2"/>
              </w:rPr>
            </w:pPr>
          </w:p>
        </w:tc>
        <w:tc>
          <w:tcPr>
            <w:tcW w:w="1543" w:type="dxa"/>
          </w:tcPr>
          <w:p w14:paraId="4704D20F" w14:textId="77777777" w:rsidR="00B6312F" w:rsidRDefault="00B6312F" w:rsidP="002804A6">
            <w:pPr>
              <w:pStyle w:val="TableParagraph"/>
              <w:spacing w:before="1"/>
              <w:ind w:right="401"/>
              <w:jc w:val="right"/>
              <w:rPr>
                <w:b/>
                <w:sz w:val="24"/>
              </w:rPr>
            </w:pPr>
            <w:r>
              <w:rPr>
                <w:b/>
                <w:sz w:val="24"/>
              </w:rPr>
              <w:t>ISO</w:t>
            </w:r>
          </w:p>
        </w:tc>
        <w:tc>
          <w:tcPr>
            <w:tcW w:w="2322" w:type="dxa"/>
          </w:tcPr>
          <w:p w14:paraId="1EFB591A" w14:textId="77777777" w:rsidR="00B6312F" w:rsidRDefault="00B6312F" w:rsidP="002804A6">
            <w:pPr>
              <w:pStyle w:val="TableParagraph"/>
              <w:spacing w:before="1"/>
              <w:ind w:left="665"/>
              <w:rPr>
                <w:b/>
                <w:sz w:val="24"/>
              </w:rPr>
            </w:pPr>
            <w:r>
              <w:rPr>
                <w:b/>
                <w:sz w:val="24"/>
              </w:rPr>
              <w:t>ISO+LEVO</w:t>
            </w:r>
          </w:p>
        </w:tc>
        <w:tc>
          <w:tcPr>
            <w:tcW w:w="2026" w:type="dxa"/>
          </w:tcPr>
          <w:p w14:paraId="2B95F125" w14:textId="77777777" w:rsidR="00B6312F" w:rsidRDefault="00B6312F" w:rsidP="002804A6">
            <w:pPr>
              <w:pStyle w:val="TableParagraph"/>
              <w:spacing w:before="1"/>
              <w:ind w:left="308"/>
              <w:rPr>
                <w:b/>
                <w:sz w:val="24"/>
              </w:rPr>
            </w:pPr>
            <w:r>
              <w:rPr>
                <w:b/>
                <w:sz w:val="24"/>
              </w:rPr>
              <w:t>ISO+DESLO</w:t>
            </w:r>
          </w:p>
        </w:tc>
      </w:tr>
      <w:tr w:rsidR="00B6312F" w14:paraId="16DF4B03" w14:textId="77777777" w:rsidTr="0039450E">
        <w:trPr>
          <w:trHeight w:val="263"/>
          <w:jc w:val="center"/>
        </w:trPr>
        <w:tc>
          <w:tcPr>
            <w:tcW w:w="2395" w:type="dxa"/>
          </w:tcPr>
          <w:p w14:paraId="641B6078" w14:textId="77777777" w:rsidR="00B6312F" w:rsidRDefault="00B6312F" w:rsidP="002804A6">
            <w:pPr>
              <w:pStyle w:val="TableParagraph"/>
              <w:ind w:left="474" w:right="467"/>
              <w:jc w:val="center"/>
              <w:rPr>
                <w:b/>
                <w:sz w:val="24"/>
              </w:rPr>
            </w:pPr>
            <w:r>
              <w:rPr>
                <w:b/>
                <w:sz w:val="24"/>
              </w:rPr>
              <w:t>ISO</w:t>
            </w:r>
          </w:p>
        </w:tc>
        <w:tc>
          <w:tcPr>
            <w:tcW w:w="1543" w:type="dxa"/>
          </w:tcPr>
          <w:p w14:paraId="0950B9EF" w14:textId="77777777" w:rsidR="00B6312F" w:rsidRDefault="00B6312F" w:rsidP="002804A6">
            <w:pPr>
              <w:pStyle w:val="TableParagraph"/>
              <w:ind w:right="460"/>
              <w:jc w:val="right"/>
              <w:rPr>
                <w:sz w:val="24"/>
              </w:rPr>
            </w:pPr>
            <w:r>
              <w:rPr>
                <w:sz w:val="24"/>
              </w:rPr>
              <w:t>6.8</w:t>
            </w:r>
          </w:p>
        </w:tc>
        <w:tc>
          <w:tcPr>
            <w:tcW w:w="2322" w:type="dxa"/>
          </w:tcPr>
          <w:p w14:paraId="78F9AD3C" w14:textId="77777777" w:rsidR="00B6312F" w:rsidRDefault="00B6312F" w:rsidP="002804A6">
            <w:pPr>
              <w:pStyle w:val="TableParagraph"/>
              <w:ind w:left="401"/>
              <w:rPr>
                <w:sz w:val="24"/>
              </w:rPr>
            </w:pPr>
            <w:r>
              <w:rPr>
                <w:sz w:val="24"/>
              </w:rPr>
              <w:t>-3.36</w:t>
            </w:r>
            <w:r>
              <w:rPr>
                <w:spacing w:val="-1"/>
                <w:sz w:val="24"/>
              </w:rPr>
              <w:t xml:space="preserve"> </w:t>
            </w:r>
            <w:r>
              <w:rPr>
                <w:sz w:val="24"/>
              </w:rPr>
              <w:t>(-7.72,</w:t>
            </w:r>
            <w:r>
              <w:rPr>
                <w:spacing w:val="-1"/>
                <w:sz w:val="24"/>
              </w:rPr>
              <w:t xml:space="preserve"> </w:t>
            </w:r>
            <w:r>
              <w:rPr>
                <w:sz w:val="24"/>
              </w:rPr>
              <w:t>0.99)</w:t>
            </w:r>
          </w:p>
        </w:tc>
        <w:tc>
          <w:tcPr>
            <w:tcW w:w="2026" w:type="dxa"/>
          </w:tcPr>
          <w:p w14:paraId="1D77C578" w14:textId="77777777" w:rsidR="00B6312F" w:rsidRDefault="00B6312F" w:rsidP="002804A6">
            <w:pPr>
              <w:pStyle w:val="TableParagraph"/>
              <w:ind w:left="111"/>
              <w:rPr>
                <w:sz w:val="24"/>
              </w:rPr>
            </w:pPr>
            <w:r>
              <w:rPr>
                <w:sz w:val="24"/>
              </w:rPr>
              <w:t>-4.09</w:t>
            </w:r>
            <w:r>
              <w:rPr>
                <w:spacing w:val="-1"/>
                <w:sz w:val="24"/>
              </w:rPr>
              <w:t xml:space="preserve"> </w:t>
            </w:r>
            <w:r>
              <w:rPr>
                <w:sz w:val="24"/>
              </w:rPr>
              <w:t>(-9.52,</w:t>
            </w:r>
            <w:r>
              <w:rPr>
                <w:spacing w:val="-1"/>
                <w:sz w:val="24"/>
              </w:rPr>
              <w:t xml:space="preserve"> </w:t>
            </w:r>
            <w:r>
              <w:rPr>
                <w:sz w:val="24"/>
              </w:rPr>
              <w:t>1.34)</w:t>
            </w:r>
          </w:p>
        </w:tc>
      </w:tr>
      <w:tr w:rsidR="00B6312F" w14:paraId="65A5A602" w14:textId="77777777" w:rsidTr="0039450E">
        <w:trPr>
          <w:trHeight w:val="469"/>
          <w:jc w:val="center"/>
        </w:trPr>
        <w:tc>
          <w:tcPr>
            <w:tcW w:w="2395" w:type="dxa"/>
          </w:tcPr>
          <w:p w14:paraId="0F4D7155" w14:textId="77777777" w:rsidR="00B6312F" w:rsidRDefault="00B6312F" w:rsidP="002804A6">
            <w:pPr>
              <w:pStyle w:val="TableParagraph"/>
              <w:spacing w:before="64"/>
              <w:ind w:left="474" w:right="465"/>
              <w:jc w:val="center"/>
              <w:rPr>
                <w:b/>
                <w:sz w:val="24"/>
              </w:rPr>
            </w:pPr>
            <w:r>
              <w:rPr>
                <w:b/>
                <w:sz w:val="24"/>
              </w:rPr>
              <w:t>ISO+LEVO</w:t>
            </w:r>
          </w:p>
        </w:tc>
        <w:tc>
          <w:tcPr>
            <w:tcW w:w="1543" w:type="dxa"/>
          </w:tcPr>
          <w:p w14:paraId="2901890C" w14:textId="77777777" w:rsidR="00B6312F" w:rsidRDefault="00B6312F" w:rsidP="002804A6">
            <w:pPr>
              <w:pStyle w:val="TableParagraph"/>
            </w:pPr>
          </w:p>
        </w:tc>
        <w:tc>
          <w:tcPr>
            <w:tcW w:w="2322" w:type="dxa"/>
          </w:tcPr>
          <w:p w14:paraId="3AF3498E" w14:textId="77777777" w:rsidR="00B6312F" w:rsidRDefault="00B6312F" w:rsidP="002804A6">
            <w:pPr>
              <w:pStyle w:val="TableParagraph"/>
              <w:spacing w:before="64"/>
              <w:ind w:left="1051" w:right="761"/>
              <w:jc w:val="center"/>
              <w:rPr>
                <w:sz w:val="24"/>
              </w:rPr>
            </w:pPr>
            <w:r>
              <w:rPr>
                <w:sz w:val="24"/>
              </w:rPr>
              <w:t>67.6</w:t>
            </w:r>
          </w:p>
        </w:tc>
        <w:tc>
          <w:tcPr>
            <w:tcW w:w="2026" w:type="dxa"/>
          </w:tcPr>
          <w:p w14:paraId="2259AF45" w14:textId="77777777" w:rsidR="00B6312F" w:rsidRDefault="00B6312F" w:rsidP="002804A6">
            <w:pPr>
              <w:pStyle w:val="TableParagraph"/>
              <w:spacing w:before="64"/>
              <w:ind w:left="180"/>
              <w:rPr>
                <w:sz w:val="24"/>
              </w:rPr>
            </w:pPr>
            <w:r>
              <w:rPr>
                <w:sz w:val="24"/>
              </w:rPr>
              <w:t>0.73</w:t>
            </w:r>
            <w:r>
              <w:rPr>
                <w:spacing w:val="-1"/>
                <w:sz w:val="24"/>
              </w:rPr>
              <w:t xml:space="preserve"> </w:t>
            </w:r>
            <w:r>
              <w:rPr>
                <w:sz w:val="24"/>
              </w:rPr>
              <w:t>(-7.65,6.20)</w:t>
            </w:r>
          </w:p>
        </w:tc>
      </w:tr>
      <w:tr w:rsidR="00B6312F" w14:paraId="768F5344" w14:textId="77777777" w:rsidTr="0039450E">
        <w:trPr>
          <w:trHeight w:val="517"/>
          <w:jc w:val="center"/>
        </w:trPr>
        <w:tc>
          <w:tcPr>
            <w:tcW w:w="2395" w:type="dxa"/>
          </w:tcPr>
          <w:p w14:paraId="1EDE808E" w14:textId="77777777" w:rsidR="00B6312F" w:rsidRDefault="00B6312F" w:rsidP="002804A6">
            <w:pPr>
              <w:pStyle w:val="TableParagraph"/>
              <w:spacing w:before="6"/>
              <w:rPr>
                <w:b/>
                <w:sz w:val="23"/>
              </w:rPr>
            </w:pPr>
          </w:p>
          <w:p w14:paraId="58F69BA7" w14:textId="77777777" w:rsidR="00B6312F" w:rsidRDefault="00B6312F" w:rsidP="002804A6">
            <w:pPr>
              <w:pStyle w:val="TableParagraph"/>
              <w:ind w:left="474" w:right="467"/>
              <w:jc w:val="center"/>
              <w:rPr>
                <w:b/>
                <w:sz w:val="24"/>
              </w:rPr>
            </w:pPr>
            <w:r>
              <w:rPr>
                <w:b/>
                <w:sz w:val="24"/>
              </w:rPr>
              <w:t>ISO+DESLO</w:t>
            </w:r>
          </w:p>
        </w:tc>
        <w:tc>
          <w:tcPr>
            <w:tcW w:w="1543" w:type="dxa"/>
          </w:tcPr>
          <w:p w14:paraId="07BE4E3B" w14:textId="77777777" w:rsidR="00B6312F" w:rsidRDefault="00B6312F" w:rsidP="002804A6">
            <w:pPr>
              <w:pStyle w:val="TableParagraph"/>
            </w:pPr>
          </w:p>
        </w:tc>
        <w:tc>
          <w:tcPr>
            <w:tcW w:w="2322" w:type="dxa"/>
          </w:tcPr>
          <w:p w14:paraId="2ACBEAE0" w14:textId="77777777" w:rsidR="00B6312F" w:rsidRDefault="00B6312F" w:rsidP="002804A6">
            <w:pPr>
              <w:pStyle w:val="TableParagraph"/>
            </w:pPr>
          </w:p>
        </w:tc>
        <w:tc>
          <w:tcPr>
            <w:tcW w:w="2026" w:type="dxa"/>
          </w:tcPr>
          <w:p w14:paraId="6BFE6B1D" w14:textId="77777777" w:rsidR="00B6312F" w:rsidRDefault="00B6312F" w:rsidP="002804A6">
            <w:pPr>
              <w:pStyle w:val="TableParagraph"/>
              <w:spacing w:before="6"/>
              <w:rPr>
                <w:b/>
                <w:sz w:val="23"/>
              </w:rPr>
            </w:pPr>
          </w:p>
          <w:p w14:paraId="1A602C47" w14:textId="77777777" w:rsidR="00B6312F" w:rsidRDefault="00B6312F" w:rsidP="002804A6">
            <w:pPr>
              <w:pStyle w:val="TableParagraph"/>
              <w:ind w:left="761" w:right="761"/>
              <w:jc w:val="center"/>
              <w:rPr>
                <w:sz w:val="24"/>
              </w:rPr>
            </w:pPr>
            <w:r>
              <w:rPr>
                <w:sz w:val="24"/>
              </w:rPr>
              <w:t>75.6</w:t>
            </w:r>
          </w:p>
        </w:tc>
      </w:tr>
    </w:tbl>
    <w:p w14:paraId="44638F4A" w14:textId="657D7A7E" w:rsidR="00B6312F" w:rsidRDefault="00B6312F" w:rsidP="00B6312F">
      <w:pPr>
        <w:widowControl w:val="0"/>
        <w:pBdr>
          <w:top w:val="nil"/>
          <w:left w:val="nil"/>
          <w:bottom w:val="nil"/>
          <w:right w:val="nil"/>
          <w:between w:val="nil"/>
        </w:pBdr>
        <w:ind w:right="11"/>
        <w:jc w:val="both"/>
        <w:rPr>
          <w:color w:val="000000" w:themeColor="text1"/>
          <w:sz w:val="16"/>
          <w:szCs w:val="16"/>
          <w:lang w:val="sv-SE"/>
        </w:rPr>
      </w:pPr>
      <w:r w:rsidRPr="00B6312F">
        <w:rPr>
          <w:color w:val="000000" w:themeColor="text1"/>
          <w:sz w:val="16"/>
          <w:szCs w:val="16"/>
          <w:lang w:val="sv-SE"/>
        </w:rPr>
        <w:t>*Values in each off-diagonal cell are USMD (95% CI) of inflammatory lesion count from mixed treatment comparisons of treatment in column heading relative to treatment in row heading. Each diagonal cell contains SUCRA</w:t>
      </w:r>
    </w:p>
    <w:p w14:paraId="38ADC9D7" w14:textId="77777777" w:rsidR="00B6312F" w:rsidRDefault="00B6312F" w:rsidP="00B6312F">
      <w:pPr>
        <w:widowControl w:val="0"/>
        <w:pBdr>
          <w:top w:val="nil"/>
          <w:left w:val="nil"/>
          <w:bottom w:val="nil"/>
          <w:right w:val="nil"/>
          <w:between w:val="nil"/>
        </w:pBdr>
        <w:ind w:right="11"/>
        <w:jc w:val="both"/>
        <w:rPr>
          <w:color w:val="000000" w:themeColor="text1"/>
          <w:sz w:val="16"/>
          <w:szCs w:val="16"/>
          <w:lang w:val="sv-SE"/>
        </w:rPr>
      </w:pPr>
    </w:p>
    <w:p w14:paraId="0B98EE7B" w14:textId="2F142A12" w:rsidR="00B6312F" w:rsidRDefault="00B6312F" w:rsidP="00B6312F">
      <w:pPr>
        <w:widowControl w:val="0"/>
        <w:pBdr>
          <w:top w:val="nil"/>
          <w:left w:val="nil"/>
          <w:bottom w:val="nil"/>
          <w:right w:val="nil"/>
          <w:between w:val="nil"/>
        </w:pBdr>
        <w:ind w:right="11"/>
        <w:jc w:val="center"/>
        <w:rPr>
          <w:b/>
          <w:bCs/>
          <w:color w:val="000000" w:themeColor="text1"/>
          <w:lang w:val="sv-SE"/>
        </w:rPr>
      </w:pPr>
      <w:r>
        <w:rPr>
          <w:b/>
          <w:bCs/>
          <w:color w:val="000000" w:themeColor="text1"/>
          <w:lang w:val="sv-SE"/>
        </w:rPr>
        <w:t xml:space="preserve">Table 4 </w:t>
      </w:r>
      <w:r w:rsidRPr="00B6312F">
        <w:rPr>
          <w:b/>
          <w:bCs/>
          <w:color w:val="000000" w:themeColor="text1"/>
          <w:lang w:val="sv-SE"/>
        </w:rPr>
        <w:t xml:space="preserve">Unstandardized mean difference of all treatment comparisons for </w:t>
      </w:r>
      <w:r>
        <w:rPr>
          <w:b/>
          <w:bCs/>
          <w:color w:val="000000" w:themeColor="text1"/>
          <w:lang w:val="sv-SE"/>
        </w:rPr>
        <w:t>acne severity score</w:t>
      </w:r>
      <w:r w:rsidRPr="00B6312F">
        <w:rPr>
          <w:b/>
          <w:bCs/>
          <w:color w:val="000000" w:themeColor="text1"/>
          <w:lang w:val="sv-SE"/>
        </w:rPr>
        <w:t xml:space="preserve"> estimated from network meta-analysis</w:t>
      </w:r>
    </w:p>
    <w:tbl>
      <w:tblPr>
        <w:tblW w:w="0" w:type="auto"/>
        <w:tblInd w:w="187" w:type="dxa"/>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304"/>
        <w:gridCol w:w="1500"/>
        <w:gridCol w:w="2326"/>
        <w:gridCol w:w="2105"/>
      </w:tblGrid>
      <w:tr w:rsidR="00CD053A" w14:paraId="775D4BE8" w14:textId="77777777" w:rsidTr="0039450E">
        <w:trPr>
          <w:trHeight w:val="368"/>
        </w:trPr>
        <w:tc>
          <w:tcPr>
            <w:tcW w:w="2304" w:type="dxa"/>
            <w:vMerge w:val="restart"/>
          </w:tcPr>
          <w:p w14:paraId="299EE7C5" w14:textId="77777777" w:rsidR="00CD053A" w:rsidRDefault="00CD053A" w:rsidP="005E388B">
            <w:pPr>
              <w:pStyle w:val="TableParagraph"/>
              <w:ind w:left="908" w:right="645" w:hanging="245"/>
              <w:rPr>
                <w:b/>
                <w:sz w:val="24"/>
              </w:rPr>
            </w:pPr>
            <w:r>
              <w:rPr>
                <w:b/>
                <w:spacing w:val="-1"/>
                <w:sz w:val="24"/>
              </w:rPr>
              <w:t>Reference</w:t>
            </w:r>
            <w:r>
              <w:rPr>
                <w:b/>
                <w:spacing w:val="-57"/>
                <w:sz w:val="24"/>
              </w:rPr>
              <w:t xml:space="preserve"> </w:t>
            </w:r>
            <w:r>
              <w:rPr>
                <w:b/>
                <w:sz w:val="24"/>
              </w:rPr>
              <w:t>Drug</w:t>
            </w:r>
          </w:p>
        </w:tc>
        <w:tc>
          <w:tcPr>
            <w:tcW w:w="1500" w:type="dxa"/>
          </w:tcPr>
          <w:p w14:paraId="502E3161" w14:textId="77777777" w:rsidR="00CD053A" w:rsidRDefault="00CD053A" w:rsidP="005E388B">
            <w:pPr>
              <w:pStyle w:val="TableParagraph"/>
            </w:pPr>
          </w:p>
        </w:tc>
        <w:tc>
          <w:tcPr>
            <w:tcW w:w="2326" w:type="dxa"/>
          </w:tcPr>
          <w:p w14:paraId="172934A7" w14:textId="77777777" w:rsidR="00CD053A" w:rsidRDefault="00CD053A" w:rsidP="005E388B">
            <w:pPr>
              <w:pStyle w:val="TableParagraph"/>
              <w:ind w:left="1137"/>
              <w:rPr>
                <w:b/>
                <w:sz w:val="24"/>
              </w:rPr>
            </w:pPr>
            <w:r>
              <w:rPr>
                <w:b/>
                <w:sz w:val="24"/>
              </w:rPr>
              <w:t>USMD</w:t>
            </w:r>
          </w:p>
        </w:tc>
        <w:tc>
          <w:tcPr>
            <w:tcW w:w="2105" w:type="dxa"/>
          </w:tcPr>
          <w:p w14:paraId="22D5990D" w14:textId="77777777" w:rsidR="00CD053A" w:rsidRDefault="00CD053A" w:rsidP="005E388B">
            <w:pPr>
              <w:pStyle w:val="TableParagraph"/>
            </w:pPr>
          </w:p>
        </w:tc>
      </w:tr>
      <w:tr w:rsidR="00CD053A" w14:paraId="1A2FCF90" w14:textId="77777777" w:rsidTr="0039450E">
        <w:trPr>
          <w:trHeight w:val="419"/>
        </w:trPr>
        <w:tc>
          <w:tcPr>
            <w:tcW w:w="2304" w:type="dxa"/>
            <w:vMerge/>
          </w:tcPr>
          <w:p w14:paraId="5135E85C" w14:textId="77777777" w:rsidR="00CD053A" w:rsidRDefault="00CD053A" w:rsidP="005E388B">
            <w:pPr>
              <w:rPr>
                <w:sz w:val="2"/>
                <w:szCs w:val="2"/>
              </w:rPr>
            </w:pPr>
          </w:p>
        </w:tc>
        <w:tc>
          <w:tcPr>
            <w:tcW w:w="1500" w:type="dxa"/>
          </w:tcPr>
          <w:p w14:paraId="1C1FEC9D" w14:textId="77777777" w:rsidR="00CD053A" w:rsidRDefault="00CD053A" w:rsidP="005E388B">
            <w:pPr>
              <w:pStyle w:val="TableParagraph"/>
              <w:ind w:right="417"/>
              <w:jc w:val="right"/>
              <w:rPr>
                <w:b/>
                <w:sz w:val="24"/>
              </w:rPr>
            </w:pPr>
            <w:r>
              <w:rPr>
                <w:b/>
                <w:sz w:val="24"/>
              </w:rPr>
              <w:t>ISO</w:t>
            </w:r>
          </w:p>
        </w:tc>
        <w:tc>
          <w:tcPr>
            <w:tcW w:w="2326" w:type="dxa"/>
          </w:tcPr>
          <w:p w14:paraId="0FC4F8B0" w14:textId="77777777" w:rsidR="00CD053A" w:rsidRDefault="00CD053A" w:rsidP="005E388B">
            <w:pPr>
              <w:pStyle w:val="TableParagraph"/>
              <w:ind w:left="695"/>
              <w:rPr>
                <w:b/>
                <w:sz w:val="24"/>
              </w:rPr>
            </w:pPr>
            <w:r>
              <w:rPr>
                <w:b/>
                <w:sz w:val="24"/>
              </w:rPr>
              <w:t>ISO+LEVO</w:t>
            </w:r>
          </w:p>
        </w:tc>
        <w:tc>
          <w:tcPr>
            <w:tcW w:w="2105" w:type="dxa"/>
          </w:tcPr>
          <w:p w14:paraId="12852D84" w14:textId="77777777" w:rsidR="00CD053A" w:rsidRDefault="00CD053A" w:rsidP="005E388B">
            <w:pPr>
              <w:pStyle w:val="TableParagraph"/>
              <w:ind w:left="148" w:right="167"/>
              <w:jc w:val="center"/>
              <w:rPr>
                <w:b/>
                <w:sz w:val="24"/>
              </w:rPr>
            </w:pPr>
            <w:r>
              <w:rPr>
                <w:b/>
                <w:sz w:val="24"/>
              </w:rPr>
              <w:t>ISO+DESLO</w:t>
            </w:r>
          </w:p>
        </w:tc>
      </w:tr>
      <w:tr w:rsidR="00CD053A" w14:paraId="2A7169EC" w14:textId="77777777" w:rsidTr="0039450E">
        <w:trPr>
          <w:trHeight w:val="310"/>
        </w:trPr>
        <w:tc>
          <w:tcPr>
            <w:tcW w:w="2304" w:type="dxa"/>
          </w:tcPr>
          <w:p w14:paraId="373A7A0A" w14:textId="77777777" w:rsidR="00CD053A" w:rsidRDefault="00CD053A" w:rsidP="005E388B">
            <w:pPr>
              <w:pStyle w:val="TableParagraph"/>
              <w:ind w:left="474" w:right="467"/>
              <w:jc w:val="center"/>
              <w:rPr>
                <w:b/>
                <w:sz w:val="24"/>
              </w:rPr>
            </w:pPr>
            <w:r>
              <w:rPr>
                <w:b/>
                <w:sz w:val="24"/>
              </w:rPr>
              <w:t>ISO</w:t>
            </w:r>
          </w:p>
        </w:tc>
        <w:tc>
          <w:tcPr>
            <w:tcW w:w="1500" w:type="dxa"/>
          </w:tcPr>
          <w:p w14:paraId="5968AA59" w14:textId="77777777" w:rsidR="00CD053A" w:rsidRDefault="00CD053A" w:rsidP="005E388B">
            <w:pPr>
              <w:pStyle w:val="TableParagraph"/>
              <w:ind w:right="476"/>
              <w:jc w:val="right"/>
              <w:rPr>
                <w:sz w:val="24"/>
              </w:rPr>
            </w:pPr>
            <w:r>
              <w:rPr>
                <w:sz w:val="24"/>
              </w:rPr>
              <w:t>0.0</w:t>
            </w:r>
          </w:p>
        </w:tc>
        <w:tc>
          <w:tcPr>
            <w:tcW w:w="2326" w:type="dxa"/>
          </w:tcPr>
          <w:p w14:paraId="1F5BF492" w14:textId="77777777" w:rsidR="00CD053A" w:rsidRDefault="00CD053A" w:rsidP="005E388B">
            <w:pPr>
              <w:pStyle w:val="TableParagraph"/>
              <w:ind w:left="419"/>
              <w:rPr>
                <w:sz w:val="24"/>
              </w:rPr>
            </w:pPr>
            <w:r>
              <w:rPr>
                <w:sz w:val="24"/>
              </w:rPr>
              <w:t>-3.63</w:t>
            </w:r>
            <w:r>
              <w:rPr>
                <w:spacing w:val="-1"/>
                <w:sz w:val="24"/>
              </w:rPr>
              <w:t xml:space="preserve"> </w:t>
            </w:r>
            <w:r>
              <w:rPr>
                <w:sz w:val="24"/>
              </w:rPr>
              <w:t>(-5.25,-2.02)</w:t>
            </w:r>
          </w:p>
        </w:tc>
        <w:tc>
          <w:tcPr>
            <w:tcW w:w="2105" w:type="dxa"/>
          </w:tcPr>
          <w:p w14:paraId="25C24F85" w14:textId="77777777" w:rsidR="00CD053A" w:rsidRDefault="00CD053A" w:rsidP="005E388B">
            <w:pPr>
              <w:pStyle w:val="TableParagraph"/>
              <w:ind w:left="148" w:right="169"/>
              <w:jc w:val="center"/>
              <w:rPr>
                <w:sz w:val="24"/>
              </w:rPr>
            </w:pPr>
            <w:r>
              <w:rPr>
                <w:sz w:val="24"/>
              </w:rPr>
              <w:t>-3.24</w:t>
            </w:r>
            <w:r>
              <w:rPr>
                <w:spacing w:val="-1"/>
                <w:sz w:val="24"/>
              </w:rPr>
              <w:t xml:space="preserve"> </w:t>
            </w:r>
            <w:r>
              <w:rPr>
                <w:sz w:val="24"/>
              </w:rPr>
              <w:t>(-5.09,-1.39)</w:t>
            </w:r>
          </w:p>
        </w:tc>
      </w:tr>
      <w:tr w:rsidR="00CD053A" w14:paraId="502C3C8E" w14:textId="77777777" w:rsidTr="0039450E">
        <w:trPr>
          <w:trHeight w:val="368"/>
        </w:trPr>
        <w:tc>
          <w:tcPr>
            <w:tcW w:w="2304" w:type="dxa"/>
          </w:tcPr>
          <w:p w14:paraId="5BF95CF2" w14:textId="77777777" w:rsidR="00CD053A" w:rsidRDefault="00CD053A" w:rsidP="005E388B">
            <w:pPr>
              <w:pStyle w:val="TableParagraph"/>
              <w:spacing w:before="64"/>
              <w:ind w:left="474" w:right="465"/>
              <w:jc w:val="center"/>
              <w:rPr>
                <w:b/>
                <w:sz w:val="24"/>
              </w:rPr>
            </w:pPr>
            <w:r>
              <w:rPr>
                <w:b/>
                <w:sz w:val="24"/>
              </w:rPr>
              <w:t>ISO+LEVO</w:t>
            </w:r>
          </w:p>
        </w:tc>
        <w:tc>
          <w:tcPr>
            <w:tcW w:w="1500" w:type="dxa"/>
          </w:tcPr>
          <w:p w14:paraId="086FA46E" w14:textId="77777777" w:rsidR="00CD053A" w:rsidRDefault="00CD053A" w:rsidP="005E388B">
            <w:pPr>
              <w:pStyle w:val="TableParagraph"/>
            </w:pPr>
          </w:p>
        </w:tc>
        <w:tc>
          <w:tcPr>
            <w:tcW w:w="2326" w:type="dxa"/>
          </w:tcPr>
          <w:p w14:paraId="3E03D4BF" w14:textId="77777777" w:rsidR="00CD053A" w:rsidRDefault="00CD053A" w:rsidP="0039450E">
            <w:pPr>
              <w:pStyle w:val="TableParagraph"/>
              <w:spacing w:before="64"/>
              <w:ind w:left="257" w:right="826"/>
              <w:jc w:val="center"/>
              <w:rPr>
                <w:sz w:val="24"/>
              </w:rPr>
            </w:pPr>
            <w:r>
              <w:rPr>
                <w:sz w:val="24"/>
              </w:rPr>
              <w:t>81.3</w:t>
            </w:r>
          </w:p>
        </w:tc>
        <w:tc>
          <w:tcPr>
            <w:tcW w:w="2105" w:type="dxa"/>
          </w:tcPr>
          <w:p w14:paraId="3405737C" w14:textId="77777777" w:rsidR="00CD053A" w:rsidRDefault="00CD053A" w:rsidP="005E388B">
            <w:pPr>
              <w:pStyle w:val="TableParagraph"/>
              <w:spacing w:before="64"/>
              <w:ind w:left="148" w:right="169"/>
              <w:jc w:val="center"/>
              <w:rPr>
                <w:sz w:val="24"/>
              </w:rPr>
            </w:pPr>
            <w:r>
              <w:rPr>
                <w:sz w:val="24"/>
              </w:rPr>
              <w:t>0.39</w:t>
            </w:r>
            <w:r>
              <w:rPr>
                <w:spacing w:val="-1"/>
                <w:sz w:val="24"/>
              </w:rPr>
              <w:t xml:space="preserve"> </w:t>
            </w:r>
            <w:r>
              <w:rPr>
                <w:sz w:val="24"/>
              </w:rPr>
              <w:t>(-2.06,</w:t>
            </w:r>
            <w:r>
              <w:rPr>
                <w:spacing w:val="-1"/>
                <w:sz w:val="24"/>
              </w:rPr>
              <w:t xml:space="preserve"> </w:t>
            </w:r>
            <w:r>
              <w:rPr>
                <w:sz w:val="24"/>
              </w:rPr>
              <w:t>2.85)</w:t>
            </w:r>
          </w:p>
        </w:tc>
      </w:tr>
      <w:tr w:rsidR="00CD053A" w14:paraId="7CB3CED4" w14:textId="77777777" w:rsidTr="0039450E">
        <w:trPr>
          <w:trHeight w:val="426"/>
        </w:trPr>
        <w:tc>
          <w:tcPr>
            <w:tcW w:w="2304" w:type="dxa"/>
          </w:tcPr>
          <w:p w14:paraId="4C1BEBA0" w14:textId="77777777" w:rsidR="00CD053A" w:rsidRDefault="00CD053A" w:rsidP="005E388B">
            <w:pPr>
              <w:pStyle w:val="TableParagraph"/>
              <w:spacing w:before="63"/>
              <w:ind w:left="474" w:right="467"/>
              <w:jc w:val="center"/>
              <w:rPr>
                <w:b/>
                <w:sz w:val="24"/>
              </w:rPr>
            </w:pPr>
            <w:r>
              <w:rPr>
                <w:b/>
                <w:sz w:val="24"/>
              </w:rPr>
              <w:t>ISO+DESLO</w:t>
            </w:r>
          </w:p>
        </w:tc>
        <w:tc>
          <w:tcPr>
            <w:tcW w:w="1500" w:type="dxa"/>
          </w:tcPr>
          <w:p w14:paraId="662B435F" w14:textId="77777777" w:rsidR="00CD053A" w:rsidRDefault="00CD053A" w:rsidP="005E388B">
            <w:pPr>
              <w:pStyle w:val="TableParagraph"/>
            </w:pPr>
          </w:p>
        </w:tc>
        <w:tc>
          <w:tcPr>
            <w:tcW w:w="2326" w:type="dxa"/>
          </w:tcPr>
          <w:p w14:paraId="24C48315" w14:textId="77777777" w:rsidR="00CD053A" w:rsidRDefault="00CD053A" w:rsidP="005E388B">
            <w:pPr>
              <w:pStyle w:val="TableParagraph"/>
            </w:pPr>
          </w:p>
        </w:tc>
        <w:tc>
          <w:tcPr>
            <w:tcW w:w="2105" w:type="dxa"/>
          </w:tcPr>
          <w:p w14:paraId="21E581DD" w14:textId="77777777" w:rsidR="00CD053A" w:rsidRDefault="00CD053A" w:rsidP="005E388B">
            <w:pPr>
              <w:pStyle w:val="TableParagraph"/>
              <w:spacing w:before="63"/>
              <w:ind w:left="148" w:right="169"/>
              <w:jc w:val="center"/>
              <w:rPr>
                <w:sz w:val="24"/>
              </w:rPr>
            </w:pPr>
            <w:r>
              <w:rPr>
                <w:sz w:val="24"/>
              </w:rPr>
              <w:t>68.7</w:t>
            </w:r>
          </w:p>
        </w:tc>
      </w:tr>
    </w:tbl>
    <w:p w14:paraId="1E7BD1A3" w14:textId="76D06A25" w:rsidR="00CD053A" w:rsidRDefault="00CD053A" w:rsidP="00CD053A">
      <w:pPr>
        <w:widowControl w:val="0"/>
        <w:pBdr>
          <w:top w:val="nil"/>
          <w:left w:val="nil"/>
          <w:bottom w:val="nil"/>
          <w:right w:val="nil"/>
          <w:between w:val="nil"/>
        </w:pBdr>
        <w:ind w:right="11"/>
        <w:jc w:val="both"/>
        <w:rPr>
          <w:color w:val="000000" w:themeColor="text1"/>
          <w:sz w:val="16"/>
          <w:szCs w:val="16"/>
          <w:lang w:val="sv-SE"/>
        </w:rPr>
      </w:pPr>
      <w:r w:rsidRPr="00B6312F">
        <w:rPr>
          <w:color w:val="000000" w:themeColor="text1"/>
          <w:sz w:val="16"/>
          <w:szCs w:val="16"/>
          <w:lang w:val="sv-SE"/>
        </w:rPr>
        <w:t xml:space="preserve">*Values in each off-diagonal cell are USMD (95% CI) of </w:t>
      </w:r>
      <w:r>
        <w:rPr>
          <w:color w:val="000000" w:themeColor="text1"/>
          <w:sz w:val="16"/>
          <w:szCs w:val="16"/>
          <w:lang w:val="sv-SE"/>
        </w:rPr>
        <w:t>acne severity score</w:t>
      </w:r>
      <w:r w:rsidRPr="00B6312F">
        <w:rPr>
          <w:color w:val="000000" w:themeColor="text1"/>
          <w:sz w:val="16"/>
          <w:szCs w:val="16"/>
          <w:lang w:val="sv-SE"/>
        </w:rPr>
        <w:t xml:space="preserve"> from mixed treatment comparisons of treatment in column heading relative to treatment in row heading. Each diagonal cell contains SUCRA</w:t>
      </w:r>
    </w:p>
    <w:p w14:paraId="081F08BD" w14:textId="2178F3BB" w:rsidR="00CD053A" w:rsidRDefault="00CD053A" w:rsidP="00CD053A">
      <w:pPr>
        <w:widowControl w:val="0"/>
        <w:pBdr>
          <w:top w:val="nil"/>
          <w:left w:val="nil"/>
          <w:bottom w:val="nil"/>
          <w:right w:val="nil"/>
          <w:between w:val="nil"/>
        </w:pBdr>
        <w:tabs>
          <w:tab w:val="left" w:pos="410"/>
        </w:tabs>
        <w:ind w:right="11"/>
        <w:rPr>
          <w:color w:val="000000" w:themeColor="text1"/>
          <w:lang w:val="sv-SE"/>
        </w:rPr>
      </w:pPr>
    </w:p>
    <w:p w14:paraId="5E301CB3"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39F31E6A"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163350C0"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22CF383A"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58C92307" w14:textId="54B5C03E" w:rsidR="002B35C4" w:rsidRDefault="002B35C4" w:rsidP="00CD053A">
      <w:pPr>
        <w:widowControl w:val="0"/>
        <w:pBdr>
          <w:top w:val="nil"/>
          <w:left w:val="nil"/>
          <w:bottom w:val="nil"/>
          <w:right w:val="nil"/>
          <w:between w:val="nil"/>
        </w:pBdr>
        <w:tabs>
          <w:tab w:val="left" w:pos="410"/>
        </w:tabs>
        <w:ind w:right="11"/>
        <w:rPr>
          <w:color w:val="000000" w:themeColor="text1"/>
          <w:lang w:val="sv-SE"/>
        </w:rPr>
      </w:pPr>
    </w:p>
    <w:p w14:paraId="2D61B06A" w14:textId="77777777" w:rsidR="002B35C4" w:rsidRDefault="002B35C4" w:rsidP="00CD053A">
      <w:pPr>
        <w:widowControl w:val="0"/>
        <w:pBdr>
          <w:top w:val="nil"/>
          <w:left w:val="nil"/>
          <w:bottom w:val="nil"/>
          <w:right w:val="nil"/>
          <w:between w:val="nil"/>
        </w:pBdr>
        <w:tabs>
          <w:tab w:val="left" w:pos="410"/>
        </w:tabs>
        <w:ind w:right="11"/>
        <w:rPr>
          <w:color w:val="000000" w:themeColor="text1"/>
          <w:lang w:val="sv-SE"/>
        </w:rPr>
      </w:pPr>
    </w:p>
    <w:p w14:paraId="3859D211"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73260B79" w14:textId="77777777" w:rsidR="00E510CF" w:rsidRDefault="00E510CF" w:rsidP="00CD053A">
      <w:pPr>
        <w:widowControl w:val="0"/>
        <w:pBdr>
          <w:top w:val="nil"/>
          <w:left w:val="nil"/>
          <w:bottom w:val="nil"/>
          <w:right w:val="nil"/>
          <w:between w:val="nil"/>
        </w:pBdr>
        <w:tabs>
          <w:tab w:val="left" w:pos="410"/>
        </w:tabs>
        <w:ind w:right="11"/>
        <w:rPr>
          <w:color w:val="000000" w:themeColor="text1"/>
          <w:lang w:val="sv-SE"/>
        </w:rPr>
      </w:pPr>
    </w:p>
    <w:p w14:paraId="6559A6B4" w14:textId="495799F0" w:rsidR="001C374B" w:rsidRDefault="001C374B" w:rsidP="001C374B">
      <w:pPr>
        <w:widowControl w:val="0"/>
        <w:pBdr>
          <w:top w:val="nil"/>
          <w:left w:val="nil"/>
          <w:bottom w:val="nil"/>
          <w:right w:val="nil"/>
          <w:between w:val="nil"/>
        </w:pBdr>
        <w:tabs>
          <w:tab w:val="left" w:pos="410"/>
        </w:tabs>
        <w:ind w:right="11"/>
        <w:jc w:val="center"/>
        <w:rPr>
          <w:b/>
          <w:bCs/>
          <w:color w:val="000000" w:themeColor="text1"/>
          <w:lang w:val="sv-SE"/>
        </w:rPr>
      </w:pPr>
      <w:r w:rsidRPr="001C374B">
        <w:rPr>
          <w:b/>
          <w:bCs/>
          <w:color w:val="000000" w:themeColor="text1"/>
          <w:lang w:val="sv-SE"/>
        </w:rPr>
        <w:t>Table 5</w:t>
      </w:r>
      <w:r>
        <w:rPr>
          <w:color w:val="000000" w:themeColor="text1"/>
          <w:lang w:val="sv-SE"/>
        </w:rPr>
        <w:t xml:space="preserve"> </w:t>
      </w:r>
      <w:r w:rsidRPr="001C374B">
        <w:rPr>
          <w:b/>
          <w:bCs/>
          <w:color w:val="000000" w:themeColor="text1"/>
          <w:lang w:val="sv-SE"/>
        </w:rPr>
        <w:t>Risk Ratio of all treatment comparisons for acne flare estimated from network meta-analysis</w:t>
      </w:r>
    </w:p>
    <w:tbl>
      <w:tblPr>
        <w:tblW w:w="0" w:type="auto"/>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503"/>
        <w:gridCol w:w="1628"/>
        <w:gridCol w:w="1902"/>
        <w:gridCol w:w="1710"/>
      </w:tblGrid>
      <w:tr w:rsidR="001C374B" w14:paraId="126CB2AA" w14:textId="77777777" w:rsidTr="0039450E">
        <w:trPr>
          <w:trHeight w:val="470"/>
          <w:jc w:val="center"/>
        </w:trPr>
        <w:tc>
          <w:tcPr>
            <w:tcW w:w="2503" w:type="dxa"/>
            <w:vMerge w:val="restart"/>
          </w:tcPr>
          <w:p w14:paraId="5F9EFF9B" w14:textId="77777777" w:rsidR="001C374B" w:rsidRDefault="001C374B" w:rsidP="00067930">
            <w:pPr>
              <w:pStyle w:val="TableParagraph"/>
              <w:spacing w:line="360" w:lineRule="auto"/>
              <w:ind w:left="908" w:right="645" w:hanging="245"/>
              <w:rPr>
                <w:b/>
                <w:sz w:val="24"/>
              </w:rPr>
            </w:pPr>
            <w:r>
              <w:rPr>
                <w:b/>
                <w:spacing w:val="-1"/>
                <w:sz w:val="24"/>
              </w:rPr>
              <w:t>Reference</w:t>
            </w:r>
            <w:r>
              <w:rPr>
                <w:b/>
                <w:spacing w:val="-57"/>
                <w:sz w:val="24"/>
              </w:rPr>
              <w:t xml:space="preserve"> </w:t>
            </w:r>
            <w:r>
              <w:rPr>
                <w:b/>
                <w:sz w:val="24"/>
              </w:rPr>
              <w:t>Drug</w:t>
            </w:r>
          </w:p>
        </w:tc>
        <w:tc>
          <w:tcPr>
            <w:tcW w:w="1628" w:type="dxa"/>
          </w:tcPr>
          <w:p w14:paraId="71C0B86B" w14:textId="77777777" w:rsidR="001C374B" w:rsidRDefault="001C374B" w:rsidP="00067930">
            <w:pPr>
              <w:pStyle w:val="TableParagraph"/>
            </w:pPr>
          </w:p>
        </w:tc>
        <w:tc>
          <w:tcPr>
            <w:tcW w:w="1902" w:type="dxa"/>
          </w:tcPr>
          <w:p w14:paraId="096FDC48" w14:textId="77777777" w:rsidR="001C374B" w:rsidRDefault="001C374B" w:rsidP="00067930">
            <w:pPr>
              <w:pStyle w:val="TableParagraph"/>
              <w:spacing w:line="275" w:lineRule="exact"/>
              <w:ind w:right="166"/>
              <w:jc w:val="right"/>
              <w:rPr>
                <w:b/>
                <w:sz w:val="24"/>
              </w:rPr>
            </w:pPr>
            <w:r>
              <w:rPr>
                <w:b/>
                <w:sz w:val="24"/>
              </w:rPr>
              <w:t>RR</w:t>
            </w:r>
            <w:r>
              <w:rPr>
                <w:b/>
                <w:spacing w:val="-2"/>
                <w:sz w:val="24"/>
              </w:rPr>
              <w:t xml:space="preserve"> </w:t>
            </w:r>
            <w:r>
              <w:rPr>
                <w:b/>
                <w:sz w:val="24"/>
              </w:rPr>
              <w:t>(95%</w:t>
            </w:r>
            <w:r>
              <w:rPr>
                <w:b/>
                <w:spacing w:val="1"/>
                <w:sz w:val="24"/>
              </w:rPr>
              <w:t xml:space="preserve"> </w:t>
            </w:r>
            <w:r>
              <w:rPr>
                <w:b/>
                <w:sz w:val="24"/>
              </w:rPr>
              <w:t>CI)</w:t>
            </w:r>
          </w:p>
        </w:tc>
        <w:tc>
          <w:tcPr>
            <w:tcW w:w="1710" w:type="dxa"/>
          </w:tcPr>
          <w:p w14:paraId="23626FEE" w14:textId="77777777" w:rsidR="001C374B" w:rsidRDefault="001C374B" w:rsidP="00067930">
            <w:pPr>
              <w:pStyle w:val="TableParagraph"/>
            </w:pPr>
          </w:p>
        </w:tc>
      </w:tr>
      <w:tr w:rsidR="001C374B" w14:paraId="723C0630" w14:textId="77777777" w:rsidTr="0039450E">
        <w:trPr>
          <w:trHeight w:val="525"/>
          <w:jc w:val="center"/>
        </w:trPr>
        <w:tc>
          <w:tcPr>
            <w:tcW w:w="2503" w:type="dxa"/>
            <w:vMerge/>
          </w:tcPr>
          <w:p w14:paraId="6F0ED5E2" w14:textId="77777777" w:rsidR="001C374B" w:rsidRDefault="001C374B" w:rsidP="00067930">
            <w:pPr>
              <w:rPr>
                <w:sz w:val="2"/>
                <w:szCs w:val="2"/>
              </w:rPr>
            </w:pPr>
          </w:p>
        </w:tc>
        <w:tc>
          <w:tcPr>
            <w:tcW w:w="1628" w:type="dxa"/>
          </w:tcPr>
          <w:p w14:paraId="27302CCC" w14:textId="77777777" w:rsidR="001C374B" w:rsidRDefault="001C374B" w:rsidP="00067930">
            <w:pPr>
              <w:pStyle w:val="TableParagraph"/>
              <w:spacing w:line="275" w:lineRule="exact"/>
              <w:ind w:right="419"/>
              <w:jc w:val="right"/>
              <w:rPr>
                <w:b/>
                <w:sz w:val="24"/>
              </w:rPr>
            </w:pPr>
            <w:r>
              <w:rPr>
                <w:b/>
                <w:sz w:val="24"/>
              </w:rPr>
              <w:t>ISO</w:t>
            </w:r>
          </w:p>
        </w:tc>
        <w:tc>
          <w:tcPr>
            <w:tcW w:w="1902" w:type="dxa"/>
          </w:tcPr>
          <w:p w14:paraId="7E3364F3" w14:textId="77777777" w:rsidR="001C374B" w:rsidRDefault="001C374B" w:rsidP="00067930">
            <w:pPr>
              <w:pStyle w:val="TableParagraph"/>
              <w:spacing w:line="275" w:lineRule="exact"/>
              <w:ind w:right="127"/>
              <w:jc w:val="right"/>
              <w:rPr>
                <w:b/>
                <w:sz w:val="24"/>
              </w:rPr>
            </w:pPr>
            <w:r>
              <w:rPr>
                <w:b/>
                <w:sz w:val="24"/>
              </w:rPr>
              <w:t>ISO+LEVO</w:t>
            </w:r>
          </w:p>
        </w:tc>
        <w:tc>
          <w:tcPr>
            <w:tcW w:w="1710" w:type="dxa"/>
          </w:tcPr>
          <w:p w14:paraId="14B4AC20" w14:textId="77777777" w:rsidR="001C374B" w:rsidRDefault="001C374B" w:rsidP="00067930">
            <w:pPr>
              <w:pStyle w:val="TableParagraph"/>
              <w:spacing w:line="275" w:lineRule="exact"/>
              <w:ind w:left="108" w:right="91"/>
              <w:jc w:val="center"/>
              <w:rPr>
                <w:b/>
                <w:sz w:val="24"/>
              </w:rPr>
            </w:pPr>
            <w:r>
              <w:rPr>
                <w:b/>
                <w:sz w:val="24"/>
              </w:rPr>
              <w:t>ISO+DESLO</w:t>
            </w:r>
          </w:p>
        </w:tc>
      </w:tr>
      <w:tr w:rsidR="001C374B" w14:paraId="68354AF8" w14:textId="77777777" w:rsidTr="0039450E">
        <w:trPr>
          <w:trHeight w:val="63"/>
          <w:jc w:val="center"/>
        </w:trPr>
        <w:tc>
          <w:tcPr>
            <w:tcW w:w="2503" w:type="dxa"/>
          </w:tcPr>
          <w:p w14:paraId="03C652FB" w14:textId="77777777" w:rsidR="001C374B" w:rsidRDefault="001C374B" w:rsidP="00067930">
            <w:pPr>
              <w:pStyle w:val="TableParagraph"/>
              <w:spacing w:line="275" w:lineRule="exact"/>
              <w:ind w:left="474" w:right="467"/>
              <w:jc w:val="center"/>
              <w:rPr>
                <w:b/>
                <w:sz w:val="24"/>
              </w:rPr>
            </w:pPr>
            <w:r>
              <w:rPr>
                <w:b/>
                <w:sz w:val="24"/>
              </w:rPr>
              <w:t>ISO</w:t>
            </w:r>
          </w:p>
        </w:tc>
        <w:tc>
          <w:tcPr>
            <w:tcW w:w="1628" w:type="dxa"/>
          </w:tcPr>
          <w:p w14:paraId="6A6A1E41" w14:textId="77777777" w:rsidR="001C374B" w:rsidRDefault="001C374B" w:rsidP="00067930">
            <w:pPr>
              <w:pStyle w:val="TableParagraph"/>
              <w:spacing w:line="275" w:lineRule="exact"/>
              <w:ind w:right="418"/>
              <w:jc w:val="right"/>
              <w:rPr>
                <w:sz w:val="24"/>
              </w:rPr>
            </w:pPr>
            <w:r>
              <w:rPr>
                <w:sz w:val="24"/>
              </w:rPr>
              <w:t>21.9</w:t>
            </w:r>
          </w:p>
        </w:tc>
        <w:tc>
          <w:tcPr>
            <w:tcW w:w="1902" w:type="dxa"/>
          </w:tcPr>
          <w:p w14:paraId="041790DD" w14:textId="77777777" w:rsidR="001C374B" w:rsidRDefault="001C374B" w:rsidP="00067930">
            <w:pPr>
              <w:pStyle w:val="TableParagraph"/>
              <w:spacing w:line="275" w:lineRule="exact"/>
              <w:ind w:left="483" w:right="195"/>
              <w:jc w:val="center"/>
              <w:rPr>
                <w:sz w:val="24"/>
              </w:rPr>
            </w:pPr>
            <w:r>
              <w:rPr>
                <w:sz w:val="24"/>
              </w:rPr>
              <w:t>0.58</w:t>
            </w:r>
          </w:p>
          <w:p w14:paraId="171D1B52" w14:textId="77777777" w:rsidR="001C374B" w:rsidRDefault="001C374B" w:rsidP="00067930">
            <w:pPr>
              <w:pStyle w:val="TableParagraph"/>
              <w:spacing w:before="139"/>
              <w:ind w:left="483" w:right="199"/>
              <w:jc w:val="center"/>
              <w:rPr>
                <w:sz w:val="24"/>
              </w:rPr>
            </w:pPr>
            <w:r>
              <w:rPr>
                <w:sz w:val="24"/>
              </w:rPr>
              <w:t>(0.08,4.01)</w:t>
            </w:r>
          </w:p>
        </w:tc>
        <w:tc>
          <w:tcPr>
            <w:tcW w:w="1710" w:type="dxa"/>
          </w:tcPr>
          <w:p w14:paraId="52ADD2A2" w14:textId="77777777" w:rsidR="001C374B" w:rsidRDefault="001C374B" w:rsidP="00067930">
            <w:pPr>
              <w:pStyle w:val="TableParagraph"/>
              <w:spacing w:line="275" w:lineRule="exact"/>
              <w:ind w:left="106" w:right="91"/>
              <w:jc w:val="center"/>
              <w:rPr>
                <w:sz w:val="24"/>
              </w:rPr>
            </w:pPr>
            <w:r>
              <w:rPr>
                <w:sz w:val="24"/>
              </w:rPr>
              <w:t>0.17</w:t>
            </w:r>
          </w:p>
          <w:p w14:paraId="71767361" w14:textId="77777777" w:rsidR="001C374B" w:rsidRDefault="001C374B" w:rsidP="00067930">
            <w:pPr>
              <w:pStyle w:val="TableParagraph"/>
              <w:spacing w:before="139"/>
              <w:ind w:left="103" w:right="91"/>
              <w:jc w:val="center"/>
              <w:rPr>
                <w:sz w:val="24"/>
              </w:rPr>
            </w:pPr>
            <w:r>
              <w:rPr>
                <w:sz w:val="24"/>
              </w:rPr>
              <w:t>(0.01,</w:t>
            </w:r>
            <w:r>
              <w:rPr>
                <w:spacing w:val="-1"/>
                <w:sz w:val="24"/>
              </w:rPr>
              <w:t xml:space="preserve"> </w:t>
            </w:r>
            <w:r>
              <w:rPr>
                <w:sz w:val="24"/>
              </w:rPr>
              <w:t>6.15)</w:t>
            </w:r>
          </w:p>
        </w:tc>
      </w:tr>
      <w:tr w:rsidR="001C374B" w14:paraId="78FA6DD1" w14:textId="77777777" w:rsidTr="0039450E">
        <w:trPr>
          <w:trHeight w:val="76"/>
          <w:jc w:val="center"/>
        </w:trPr>
        <w:tc>
          <w:tcPr>
            <w:tcW w:w="2503" w:type="dxa"/>
          </w:tcPr>
          <w:p w14:paraId="5F89FA50" w14:textId="77777777" w:rsidR="001C374B" w:rsidRDefault="001C374B" w:rsidP="00067930">
            <w:pPr>
              <w:pStyle w:val="TableParagraph"/>
              <w:spacing w:before="63"/>
              <w:ind w:left="560"/>
              <w:rPr>
                <w:b/>
                <w:sz w:val="24"/>
              </w:rPr>
            </w:pPr>
            <w:r>
              <w:rPr>
                <w:b/>
                <w:sz w:val="24"/>
              </w:rPr>
              <w:t>ISO+LEVO</w:t>
            </w:r>
          </w:p>
        </w:tc>
        <w:tc>
          <w:tcPr>
            <w:tcW w:w="1628" w:type="dxa"/>
          </w:tcPr>
          <w:p w14:paraId="4B54B052" w14:textId="77777777" w:rsidR="001C374B" w:rsidRDefault="001C374B" w:rsidP="00067930">
            <w:pPr>
              <w:pStyle w:val="TableParagraph"/>
            </w:pPr>
          </w:p>
        </w:tc>
        <w:tc>
          <w:tcPr>
            <w:tcW w:w="1902" w:type="dxa"/>
          </w:tcPr>
          <w:p w14:paraId="0AFD0ACA" w14:textId="77777777" w:rsidR="001C374B" w:rsidRDefault="001C374B" w:rsidP="00067930">
            <w:pPr>
              <w:pStyle w:val="TableParagraph"/>
              <w:spacing w:before="63"/>
              <w:ind w:left="825"/>
              <w:rPr>
                <w:sz w:val="24"/>
              </w:rPr>
            </w:pPr>
            <w:r>
              <w:rPr>
                <w:sz w:val="24"/>
              </w:rPr>
              <w:t>49.8</w:t>
            </w:r>
          </w:p>
        </w:tc>
        <w:tc>
          <w:tcPr>
            <w:tcW w:w="1710" w:type="dxa"/>
          </w:tcPr>
          <w:p w14:paraId="2893A86C" w14:textId="77777777" w:rsidR="001C374B" w:rsidRDefault="001C374B" w:rsidP="00067930">
            <w:pPr>
              <w:pStyle w:val="TableParagraph"/>
              <w:spacing w:before="63"/>
              <w:ind w:left="106" w:right="91"/>
              <w:jc w:val="center"/>
              <w:rPr>
                <w:sz w:val="24"/>
              </w:rPr>
            </w:pPr>
            <w:r>
              <w:rPr>
                <w:sz w:val="24"/>
              </w:rPr>
              <w:t>0.29</w:t>
            </w:r>
          </w:p>
          <w:p w14:paraId="43B10430" w14:textId="77777777" w:rsidR="001C374B" w:rsidRDefault="001C374B" w:rsidP="00067930">
            <w:pPr>
              <w:pStyle w:val="TableParagraph"/>
              <w:spacing w:before="140"/>
              <w:ind w:left="106" w:right="91"/>
              <w:jc w:val="center"/>
              <w:rPr>
                <w:sz w:val="24"/>
              </w:rPr>
            </w:pPr>
            <w:r>
              <w:rPr>
                <w:sz w:val="24"/>
              </w:rPr>
              <w:t>(0.01,17.41)</w:t>
            </w:r>
          </w:p>
        </w:tc>
      </w:tr>
      <w:tr w:rsidR="001C374B" w14:paraId="7A3758BC" w14:textId="77777777" w:rsidTr="0039450E">
        <w:trPr>
          <w:trHeight w:val="546"/>
          <w:jc w:val="center"/>
        </w:trPr>
        <w:tc>
          <w:tcPr>
            <w:tcW w:w="2503" w:type="dxa"/>
          </w:tcPr>
          <w:p w14:paraId="3A53D699" w14:textId="77777777" w:rsidR="001C374B" w:rsidRDefault="001C374B" w:rsidP="00067930">
            <w:pPr>
              <w:pStyle w:val="TableParagraph"/>
              <w:spacing w:before="63"/>
              <w:ind w:left="493"/>
              <w:rPr>
                <w:b/>
                <w:sz w:val="24"/>
              </w:rPr>
            </w:pPr>
            <w:r>
              <w:rPr>
                <w:b/>
                <w:sz w:val="24"/>
              </w:rPr>
              <w:t>ISO+DESLO</w:t>
            </w:r>
          </w:p>
        </w:tc>
        <w:tc>
          <w:tcPr>
            <w:tcW w:w="1628" w:type="dxa"/>
          </w:tcPr>
          <w:p w14:paraId="3D5C862C" w14:textId="77777777" w:rsidR="001C374B" w:rsidRDefault="001C374B" w:rsidP="00067930">
            <w:pPr>
              <w:pStyle w:val="TableParagraph"/>
            </w:pPr>
          </w:p>
        </w:tc>
        <w:tc>
          <w:tcPr>
            <w:tcW w:w="1902" w:type="dxa"/>
          </w:tcPr>
          <w:p w14:paraId="2194109D" w14:textId="77777777" w:rsidR="001C374B" w:rsidRDefault="001C374B" w:rsidP="00067930">
            <w:pPr>
              <w:pStyle w:val="TableParagraph"/>
            </w:pPr>
          </w:p>
        </w:tc>
        <w:tc>
          <w:tcPr>
            <w:tcW w:w="1710" w:type="dxa"/>
          </w:tcPr>
          <w:p w14:paraId="484E2D94" w14:textId="77777777" w:rsidR="001C374B" w:rsidRDefault="001C374B" w:rsidP="00067930">
            <w:pPr>
              <w:pStyle w:val="TableParagraph"/>
              <w:spacing w:before="63"/>
              <w:ind w:left="106" w:right="91"/>
              <w:jc w:val="center"/>
              <w:rPr>
                <w:sz w:val="24"/>
              </w:rPr>
            </w:pPr>
            <w:r>
              <w:rPr>
                <w:sz w:val="24"/>
              </w:rPr>
              <w:t>78.2</w:t>
            </w:r>
          </w:p>
        </w:tc>
      </w:tr>
    </w:tbl>
    <w:p w14:paraId="08AFB490" w14:textId="7E35C8D1" w:rsidR="001C374B" w:rsidRPr="001C374B" w:rsidRDefault="001C374B" w:rsidP="001C374B">
      <w:pPr>
        <w:widowControl w:val="0"/>
        <w:pBdr>
          <w:top w:val="nil"/>
          <w:left w:val="nil"/>
          <w:bottom w:val="nil"/>
          <w:right w:val="nil"/>
          <w:between w:val="nil"/>
        </w:pBdr>
        <w:tabs>
          <w:tab w:val="left" w:pos="410"/>
        </w:tabs>
        <w:ind w:right="11"/>
        <w:jc w:val="both"/>
        <w:rPr>
          <w:color w:val="000000" w:themeColor="text1"/>
          <w:sz w:val="16"/>
          <w:szCs w:val="16"/>
          <w:lang w:val="sv-SE"/>
        </w:rPr>
      </w:pPr>
      <w:r w:rsidRPr="001C374B">
        <w:rPr>
          <w:color w:val="000000" w:themeColor="text1"/>
          <w:sz w:val="16"/>
          <w:szCs w:val="16"/>
          <w:lang w:val="sv-SE"/>
        </w:rPr>
        <w:t>* Values in each off-diagonal cell are RR (95% CI) of acne flare from mixed treatment comparisons of treatment in column heading relative to treatment in row heading. Each diagonal cell contains SUCRA</w:t>
      </w:r>
    </w:p>
    <w:p w14:paraId="69619763" w14:textId="77777777" w:rsidR="001C374B" w:rsidRDefault="001C374B" w:rsidP="00CD053A">
      <w:pPr>
        <w:widowControl w:val="0"/>
        <w:pBdr>
          <w:top w:val="nil"/>
          <w:left w:val="nil"/>
          <w:bottom w:val="nil"/>
          <w:right w:val="nil"/>
          <w:between w:val="nil"/>
        </w:pBdr>
        <w:tabs>
          <w:tab w:val="left" w:pos="410"/>
        </w:tabs>
        <w:ind w:right="11"/>
        <w:rPr>
          <w:color w:val="000000" w:themeColor="text1"/>
          <w:lang w:val="sv-SE"/>
        </w:rPr>
      </w:pPr>
    </w:p>
    <w:p w14:paraId="0EE26FB9" w14:textId="00CA8D13" w:rsidR="001C374B" w:rsidRDefault="001C374B" w:rsidP="001C374B">
      <w:pPr>
        <w:widowControl w:val="0"/>
        <w:pBdr>
          <w:top w:val="nil"/>
          <w:left w:val="nil"/>
          <w:bottom w:val="nil"/>
          <w:right w:val="nil"/>
          <w:between w:val="nil"/>
        </w:pBdr>
        <w:tabs>
          <w:tab w:val="left" w:pos="410"/>
        </w:tabs>
        <w:ind w:right="11"/>
        <w:jc w:val="center"/>
        <w:rPr>
          <w:b/>
          <w:bCs/>
          <w:color w:val="000000" w:themeColor="text1"/>
          <w:lang w:val="sv-SE"/>
        </w:rPr>
      </w:pPr>
      <w:r w:rsidRPr="00704962">
        <w:rPr>
          <w:b/>
          <w:bCs/>
          <w:color w:val="000000" w:themeColor="text1"/>
          <w:lang w:val="sv-SE"/>
        </w:rPr>
        <w:t>Table 6</w:t>
      </w:r>
      <w:r>
        <w:rPr>
          <w:color w:val="000000" w:themeColor="text1"/>
          <w:lang w:val="sv-SE"/>
        </w:rPr>
        <w:t xml:space="preserve"> </w:t>
      </w:r>
      <w:r w:rsidRPr="001C374B">
        <w:rPr>
          <w:b/>
          <w:bCs/>
          <w:color w:val="000000" w:themeColor="text1"/>
          <w:lang w:val="sv-SE"/>
        </w:rPr>
        <w:t xml:space="preserve">Risk Ratio of all treatment comparisons for </w:t>
      </w:r>
      <w:r>
        <w:rPr>
          <w:b/>
          <w:bCs/>
          <w:color w:val="000000" w:themeColor="text1"/>
          <w:lang w:val="sv-SE"/>
        </w:rPr>
        <w:t>muc</w:t>
      </w:r>
      <w:r w:rsidR="00704962">
        <w:rPr>
          <w:b/>
          <w:bCs/>
          <w:color w:val="000000" w:themeColor="text1"/>
          <w:lang w:val="sv-SE"/>
        </w:rPr>
        <w:t>ocutaneous adverse</w:t>
      </w:r>
      <w:r w:rsidRPr="001C374B">
        <w:rPr>
          <w:b/>
          <w:bCs/>
          <w:color w:val="000000" w:themeColor="text1"/>
          <w:lang w:val="sv-SE"/>
        </w:rPr>
        <w:t xml:space="preserve"> estimated from network meta-analysis</w:t>
      </w:r>
    </w:p>
    <w:tbl>
      <w:tblPr>
        <w:tblW w:w="0" w:type="auto"/>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473"/>
        <w:gridCol w:w="1612"/>
        <w:gridCol w:w="1878"/>
        <w:gridCol w:w="1689"/>
      </w:tblGrid>
      <w:tr w:rsidR="00704962" w14:paraId="5A981E67" w14:textId="77777777" w:rsidTr="0039450E">
        <w:trPr>
          <w:trHeight w:val="392"/>
          <w:jc w:val="center"/>
        </w:trPr>
        <w:tc>
          <w:tcPr>
            <w:tcW w:w="2473" w:type="dxa"/>
            <w:vMerge w:val="restart"/>
          </w:tcPr>
          <w:p w14:paraId="0F10544E" w14:textId="77777777" w:rsidR="00704962" w:rsidRDefault="00704962" w:rsidP="00067930">
            <w:pPr>
              <w:pStyle w:val="TableParagraph"/>
              <w:spacing w:line="360" w:lineRule="auto"/>
              <w:ind w:left="908" w:right="645" w:hanging="245"/>
              <w:rPr>
                <w:b/>
                <w:sz w:val="24"/>
              </w:rPr>
            </w:pPr>
            <w:r>
              <w:rPr>
                <w:b/>
                <w:spacing w:val="-1"/>
                <w:sz w:val="24"/>
              </w:rPr>
              <w:t>Reference</w:t>
            </w:r>
            <w:r>
              <w:rPr>
                <w:b/>
                <w:spacing w:val="-57"/>
                <w:sz w:val="24"/>
              </w:rPr>
              <w:t xml:space="preserve"> </w:t>
            </w:r>
            <w:r>
              <w:rPr>
                <w:b/>
                <w:sz w:val="24"/>
              </w:rPr>
              <w:t>Drug</w:t>
            </w:r>
          </w:p>
        </w:tc>
        <w:tc>
          <w:tcPr>
            <w:tcW w:w="1612" w:type="dxa"/>
          </w:tcPr>
          <w:p w14:paraId="007EF3BB" w14:textId="77777777" w:rsidR="00704962" w:rsidRDefault="00704962" w:rsidP="00067930">
            <w:pPr>
              <w:pStyle w:val="TableParagraph"/>
            </w:pPr>
          </w:p>
        </w:tc>
        <w:tc>
          <w:tcPr>
            <w:tcW w:w="1878" w:type="dxa"/>
          </w:tcPr>
          <w:p w14:paraId="2158F3AC" w14:textId="77777777" w:rsidR="00704962" w:rsidRDefault="00704962" w:rsidP="00067930">
            <w:pPr>
              <w:pStyle w:val="TableParagraph"/>
              <w:spacing w:line="275" w:lineRule="exact"/>
              <w:ind w:right="165"/>
              <w:jc w:val="right"/>
              <w:rPr>
                <w:b/>
                <w:sz w:val="24"/>
              </w:rPr>
            </w:pPr>
            <w:r>
              <w:rPr>
                <w:b/>
                <w:sz w:val="24"/>
              </w:rPr>
              <w:t>RR</w:t>
            </w:r>
            <w:r>
              <w:rPr>
                <w:b/>
                <w:spacing w:val="-2"/>
                <w:sz w:val="24"/>
              </w:rPr>
              <w:t xml:space="preserve"> </w:t>
            </w:r>
            <w:r>
              <w:rPr>
                <w:b/>
                <w:sz w:val="24"/>
              </w:rPr>
              <w:t>(95%</w:t>
            </w:r>
            <w:r>
              <w:rPr>
                <w:b/>
                <w:spacing w:val="1"/>
                <w:sz w:val="24"/>
              </w:rPr>
              <w:t xml:space="preserve"> </w:t>
            </w:r>
            <w:r>
              <w:rPr>
                <w:b/>
                <w:sz w:val="24"/>
              </w:rPr>
              <w:t>CI)</w:t>
            </w:r>
          </w:p>
        </w:tc>
        <w:tc>
          <w:tcPr>
            <w:tcW w:w="1689" w:type="dxa"/>
          </w:tcPr>
          <w:p w14:paraId="6C88E3CD" w14:textId="77777777" w:rsidR="00704962" w:rsidRDefault="00704962" w:rsidP="00067930">
            <w:pPr>
              <w:pStyle w:val="TableParagraph"/>
            </w:pPr>
          </w:p>
        </w:tc>
      </w:tr>
      <w:tr w:rsidR="00704962" w14:paraId="2DBA0928" w14:textId="77777777" w:rsidTr="0039450E">
        <w:trPr>
          <w:trHeight w:val="444"/>
          <w:jc w:val="center"/>
        </w:trPr>
        <w:tc>
          <w:tcPr>
            <w:tcW w:w="2473" w:type="dxa"/>
            <w:vMerge/>
          </w:tcPr>
          <w:p w14:paraId="18D33F72" w14:textId="77777777" w:rsidR="00704962" w:rsidRDefault="00704962" w:rsidP="00067930">
            <w:pPr>
              <w:rPr>
                <w:sz w:val="2"/>
                <w:szCs w:val="2"/>
              </w:rPr>
            </w:pPr>
          </w:p>
        </w:tc>
        <w:tc>
          <w:tcPr>
            <w:tcW w:w="1612" w:type="dxa"/>
          </w:tcPr>
          <w:p w14:paraId="7B35ACB6" w14:textId="77777777" w:rsidR="00704962" w:rsidRDefault="00704962" w:rsidP="00067930">
            <w:pPr>
              <w:pStyle w:val="TableParagraph"/>
              <w:spacing w:before="1"/>
              <w:ind w:right="419"/>
              <w:jc w:val="right"/>
              <w:rPr>
                <w:b/>
                <w:sz w:val="24"/>
              </w:rPr>
            </w:pPr>
            <w:r>
              <w:rPr>
                <w:b/>
                <w:sz w:val="24"/>
              </w:rPr>
              <w:t>ISO</w:t>
            </w:r>
          </w:p>
        </w:tc>
        <w:tc>
          <w:tcPr>
            <w:tcW w:w="1878" w:type="dxa"/>
          </w:tcPr>
          <w:p w14:paraId="552FBA14" w14:textId="77777777" w:rsidR="00704962" w:rsidRDefault="00704962" w:rsidP="00067930">
            <w:pPr>
              <w:pStyle w:val="TableParagraph"/>
              <w:spacing w:before="1"/>
              <w:ind w:right="126"/>
              <w:jc w:val="right"/>
              <w:rPr>
                <w:b/>
                <w:sz w:val="24"/>
              </w:rPr>
            </w:pPr>
            <w:r>
              <w:rPr>
                <w:b/>
                <w:sz w:val="24"/>
              </w:rPr>
              <w:t>ISO+LEVO</w:t>
            </w:r>
          </w:p>
        </w:tc>
        <w:tc>
          <w:tcPr>
            <w:tcW w:w="1689" w:type="dxa"/>
          </w:tcPr>
          <w:p w14:paraId="230263C4" w14:textId="77777777" w:rsidR="00704962" w:rsidRDefault="00704962" w:rsidP="00067930">
            <w:pPr>
              <w:pStyle w:val="TableParagraph"/>
              <w:spacing w:before="1"/>
              <w:ind w:left="107" w:right="91"/>
              <w:jc w:val="center"/>
              <w:rPr>
                <w:b/>
                <w:sz w:val="24"/>
              </w:rPr>
            </w:pPr>
            <w:r>
              <w:rPr>
                <w:b/>
                <w:sz w:val="24"/>
              </w:rPr>
              <w:t>ISO+DESLO</w:t>
            </w:r>
          </w:p>
        </w:tc>
      </w:tr>
      <w:tr w:rsidR="00704962" w14:paraId="2AC4D017" w14:textId="77777777" w:rsidTr="0039450E">
        <w:trPr>
          <w:trHeight w:val="725"/>
          <w:jc w:val="center"/>
        </w:trPr>
        <w:tc>
          <w:tcPr>
            <w:tcW w:w="2473" w:type="dxa"/>
          </w:tcPr>
          <w:p w14:paraId="54FE0AC9" w14:textId="77777777" w:rsidR="00704962" w:rsidRDefault="00704962" w:rsidP="00067930">
            <w:pPr>
              <w:pStyle w:val="TableParagraph"/>
              <w:spacing w:line="275" w:lineRule="exact"/>
              <w:ind w:left="474" w:right="467"/>
              <w:jc w:val="center"/>
              <w:rPr>
                <w:b/>
                <w:sz w:val="24"/>
              </w:rPr>
            </w:pPr>
            <w:r>
              <w:rPr>
                <w:b/>
                <w:sz w:val="24"/>
              </w:rPr>
              <w:t>ISO</w:t>
            </w:r>
          </w:p>
        </w:tc>
        <w:tc>
          <w:tcPr>
            <w:tcW w:w="1612" w:type="dxa"/>
          </w:tcPr>
          <w:p w14:paraId="30F0B742" w14:textId="77777777" w:rsidR="00704962" w:rsidRDefault="00704962" w:rsidP="00067930">
            <w:pPr>
              <w:pStyle w:val="TableParagraph"/>
              <w:spacing w:line="275" w:lineRule="exact"/>
              <w:ind w:right="418"/>
              <w:jc w:val="right"/>
              <w:rPr>
                <w:sz w:val="24"/>
              </w:rPr>
            </w:pPr>
            <w:r>
              <w:rPr>
                <w:sz w:val="24"/>
              </w:rPr>
              <w:t>22.8</w:t>
            </w:r>
          </w:p>
        </w:tc>
        <w:tc>
          <w:tcPr>
            <w:tcW w:w="1878" w:type="dxa"/>
          </w:tcPr>
          <w:p w14:paraId="1DB32A95" w14:textId="77777777" w:rsidR="00704962" w:rsidRDefault="00704962" w:rsidP="00067930">
            <w:pPr>
              <w:pStyle w:val="TableParagraph"/>
              <w:spacing w:line="275" w:lineRule="exact"/>
              <w:ind w:left="483" w:right="193"/>
              <w:jc w:val="center"/>
              <w:rPr>
                <w:sz w:val="24"/>
              </w:rPr>
            </w:pPr>
            <w:r>
              <w:rPr>
                <w:sz w:val="24"/>
              </w:rPr>
              <w:t>0.90</w:t>
            </w:r>
          </w:p>
          <w:p w14:paraId="7D75542B" w14:textId="77777777" w:rsidR="00704962" w:rsidRDefault="00704962" w:rsidP="00067930">
            <w:pPr>
              <w:pStyle w:val="TableParagraph"/>
              <w:spacing w:before="137"/>
              <w:ind w:left="483" w:right="197"/>
              <w:jc w:val="center"/>
              <w:rPr>
                <w:sz w:val="24"/>
              </w:rPr>
            </w:pPr>
            <w:r>
              <w:rPr>
                <w:sz w:val="24"/>
              </w:rPr>
              <w:t>(0.45,1.80)</w:t>
            </w:r>
          </w:p>
        </w:tc>
        <w:tc>
          <w:tcPr>
            <w:tcW w:w="1689" w:type="dxa"/>
          </w:tcPr>
          <w:p w14:paraId="192ADEC0" w14:textId="77777777" w:rsidR="00704962" w:rsidRDefault="00704962" w:rsidP="00067930">
            <w:pPr>
              <w:pStyle w:val="TableParagraph"/>
              <w:spacing w:line="275" w:lineRule="exact"/>
              <w:ind w:left="103" w:right="91"/>
              <w:jc w:val="center"/>
              <w:rPr>
                <w:sz w:val="24"/>
              </w:rPr>
            </w:pPr>
            <w:r>
              <w:rPr>
                <w:sz w:val="24"/>
              </w:rPr>
              <w:t>0.41</w:t>
            </w:r>
          </w:p>
          <w:p w14:paraId="1CB0193C" w14:textId="77777777" w:rsidR="00704962" w:rsidRDefault="00704962" w:rsidP="00067930">
            <w:pPr>
              <w:pStyle w:val="TableParagraph"/>
              <w:spacing w:before="137"/>
              <w:ind w:left="105" w:right="91"/>
              <w:jc w:val="center"/>
              <w:rPr>
                <w:sz w:val="24"/>
              </w:rPr>
            </w:pPr>
            <w:r>
              <w:rPr>
                <w:sz w:val="24"/>
              </w:rPr>
              <w:t>(0.12,1.46)</w:t>
            </w:r>
          </w:p>
        </w:tc>
      </w:tr>
      <w:tr w:rsidR="00704962" w14:paraId="6E660334" w14:textId="77777777" w:rsidTr="0039450E">
        <w:trPr>
          <w:trHeight w:val="788"/>
          <w:jc w:val="center"/>
        </w:trPr>
        <w:tc>
          <w:tcPr>
            <w:tcW w:w="2473" w:type="dxa"/>
          </w:tcPr>
          <w:p w14:paraId="5B6FCC29" w14:textId="77777777" w:rsidR="00704962" w:rsidRDefault="00704962" w:rsidP="00067930">
            <w:pPr>
              <w:pStyle w:val="TableParagraph"/>
              <w:spacing w:before="65"/>
              <w:ind w:left="474" w:right="465"/>
              <w:jc w:val="center"/>
              <w:rPr>
                <w:b/>
                <w:sz w:val="24"/>
              </w:rPr>
            </w:pPr>
            <w:r>
              <w:rPr>
                <w:b/>
                <w:sz w:val="24"/>
              </w:rPr>
              <w:t>ISO+LEVO</w:t>
            </w:r>
          </w:p>
        </w:tc>
        <w:tc>
          <w:tcPr>
            <w:tcW w:w="1612" w:type="dxa"/>
          </w:tcPr>
          <w:p w14:paraId="6AF81782" w14:textId="77777777" w:rsidR="00704962" w:rsidRDefault="00704962" w:rsidP="00067930">
            <w:pPr>
              <w:pStyle w:val="TableParagraph"/>
            </w:pPr>
          </w:p>
        </w:tc>
        <w:tc>
          <w:tcPr>
            <w:tcW w:w="1878" w:type="dxa"/>
          </w:tcPr>
          <w:p w14:paraId="4AAAD588" w14:textId="77777777" w:rsidR="00704962" w:rsidRDefault="00704962" w:rsidP="00067930">
            <w:pPr>
              <w:pStyle w:val="TableParagraph"/>
              <w:spacing w:before="65"/>
              <w:ind w:left="825"/>
              <w:rPr>
                <w:sz w:val="24"/>
              </w:rPr>
            </w:pPr>
            <w:r>
              <w:rPr>
                <w:sz w:val="24"/>
              </w:rPr>
              <w:t>38.8</w:t>
            </w:r>
          </w:p>
        </w:tc>
        <w:tc>
          <w:tcPr>
            <w:tcW w:w="1689" w:type="dxa"/>
          </w:tcPr>
          <w:p w14:paraId="16CE8D43" w14:textId="77777777" w:rsidR="00704962" w:rsidRDefault="00704962" w:rsidP="00067930">
            <w:pPr>
              <w:pStyle w:val="TableParagraph"/>
              <w:spacing w:before="65"/>
              <w:ind w:left="103" w:right="91"/>
              <w:jc w:val="center"/>
              <w:rPr>
                <w:sz w:val="24"/>
              </w:rPr>
            </w:pPr>
            <w:r>
              <w:rPr>
                <w:sz w:val="24"/>
              </w:rPr>
              <w:t>0.46</w:t>
            </w:r>
          </w:p>
          <w:p w14:paraId="0D0E086D" w14:textId="77777777" w:rsidR="00704962" w:rsidRDefault="00704962" w:rsidP="00067930">
            <w:pPr>
              <w:pStyle w:val="TableParagraph"/>
              <w:spacing w:before="136"/>
              <w:ind w:left="105" w:right="91"/>
              <w:jc w:val="center"/>
              <w:rPr>
                <w:sz w:val="24"/>
              </w:rPr>
            </w:pPr>
            <w:r>
              <w:rPr>
                <w:sz w:val="24"/>
              </w:rPr>
              <w:t>(0.11,1.93)</w:t>
            </w:r>
          </w:p>
        </w:tc>
      </w:tr>
      <w:tr w:rsidR="00704962" w14:paraId="0D5B56F5" w14:textId="77777777" w:rsidTr="0039450E">
        <w:trPr>
          <w:trHeight w:val="454"/>
          <w:jc w:val="center"/>
        </w:trPr>
        <w:tc>
          <w:tcPr>
            <w:tcW w:w="2473" w:type="dxa"/>
          </w:tcPr>
          <w:p w14:paraId="5A95D847" w14:textId="77777777" w:rsidR="00704962" w:rsidRDefault="00704962" w:rsidP="00067930">
            <w:pPr>
              <w:pStyle w:val="TableParagraph"/>
              <w:spacing w:before="64"/>
              <w:ind w:left="474" w:right="467"/>
              <w:jc w:val="center"/>
              <w:rPr>
                <w:b/>
                <w:sz w:val="24"/>
              </w:rPr>
            </w:pPr>
            <w:r>
              <w:rPr>
                <w:b/>
                <w:sz w:val="24"/>
              </w:rPr>
              <w:t>ISO+DESLO</w:t>
            </w:r>
          </w:p>
        </w:tc>
        <w:tc>
          <w:tcPr>
            <w:tcW w:w="1612" w:type="dxa"/>
          </w:tcPr>
          <w:p w14:paraId="4196F555" w14:textId="77777777" w:rsidR="00704962" w:rsidRDefault="00704962" w:rsidP="00067930">
            <w:pPr>
              <w:pStyle w:val="TableParagraph"/>
            </w:pPr>
          </w:p>
        </w:tc>
        <w:tc>
          <w:tcPr>
            <w:tcW w:w="1878" w:type="dxa"/>
          </w:tcPr>
          <w:p w14:paraId="574E9A0A" w14:textId="77777777" w:rsidR="00704962" w:rsidRDefault="00704962" w:rsidP="00067930">
            <w:pPr>
              <w:pStyle w:val="TableParagraph"/>
            </w:pPr>
          </w:p>
        </w:tc>
        <w:tc>
          <w:tcPr>
            <w:tcW w:w="1689" w:type="dxa"/>
          </w:tcPr>
          <w:p w14:paraId="7D785B81" w14:textId="77777777" w:rsidR="00704962" w:rsidRDefault="00704962" w:rsidP="00067930">
            <w:pPr>
              <w:pStyle w:val="TableParagraph"/>
              <w:spacing w:before="64"/>
              <w:ind w:left="103" w:right="91"/>
              <w:jc w:val="center"/>
              <w:rPr>
                <w:sz w:val="24"/>
              </w:rPr>
            </w:pPr>
            <w:r>
              <w:rPr>
                <w:sz w:val="24"/>
              </w:rPr>
              <w:t>88.4</w:t>
            </w:r>
          </w:p>
        </w:tc>
      </w:tr>
    </w:tbl>
    <w:p w14:paraId="5CA9199B" w14:textId="59B49923" w:rsidR="00704962" w:rsidRDefault="00704962" w:rsidP="00704962">
      <w:pPr>
        <w:widowControl w:val="0"/>
        <w:pBdr>
          <w:top w:val="nil"/>
          <w:left w:val="nil"/>
          <w:bottom w:val="nil"/>
          <w:right w:val="nil"/>
          <w:between w:val="nil"/>
        </w:pBdr>
        <w:tabs>
          <w:tab w:val="left" w:pos="410"/>
        </w:tabs>
        <w:ind w:right="11"/>
        <w:jc w:val="both"/>
        <w:rPr>
          <w:sz w:val="16"/>
          <w:szCs w:val="16"/>
        </w:rPr>
      </w:pPr>
      <w:r w:rsidRPr="00704962">
        <w:rPr>
          <w:sz w:val="16"/>
          <w:szCs w:val="16"/>
        </w:rPr>
        <w:t>*Values in each off-diagonal cell are RR (95% CI) of mucocutaneous adverse events</w:t>
      </w:r>
      <w:r w:rsidRPr="00704962">
        <w:rPr>
          <w:spacing w:val="1"/>
          <w:sz w:val="16"/>
          <w:szCs w:val="16"/>
        </w:rPr>
        <w:t xml:space="preserve"> </w:t>
      </w:r>
      <w:r w:rsidRPr="00704962">
        <w:rPr>
          <w:sz w:val="16"/>
          <w:szCs w:val="16"/>
        </w:rPr>
        <w:t>from mixed treatment comparisons of treatment in column heading relative to treatment</w:t>
      </w:r>
      <w:r w:rsidRPr="00704962">
        <w:rPr>
          <w:spacing w:val="1"/>
          <w:sz w:val="16"/>
          <w:szCs w:val="16"/>
        </w:rPr>
        <w:t xml:space="preserve"> </w:t>
      </w:r>
      <w:r w:rsidRPr="00704962">
        <w:rPr>
          <w:sz w:val="16"/>
          <w:szCs w:val="16"/>
        </w:rPr>
        <w:t>in</w:t>
      </w:r>
      <w:r w:rsidRPr="00704962">
        <w:rPr>
          <w:spacing w:val="-1"/>
          <w:sz w:val="16"/>
          <w:szCs w:val="16"/>
        </w:rPr>
        <w:t xml:space="preserve"> </w:t>
      </w:r>
      <w:r w:rsidRPr="00704962">
        <w:rPr>
          <w:sz w:val="16"/>
          <w:szCs w:val="16"/>
        </w:rPr>
        <w:t>row</w:t>
      </w:r>
      <w:r w:rsidRPr="00704962">
        <w:rPr>
          <w:spacing w:val="-1"/>
          <w:sz w:val="16"/>
          <w:szCs w:val="16"/>
        </w:rPr>
        <w:t xml:space="preserve"> </w:t>
      </w:r>
      <w:r w:rsidRPr="00704962">
        <w:rPr>
          <w:sz w:val="16"/>
          <w:szCs w:val="16"/>
        </w:rPr>
        <w:t>heading.</w:t>
      </w:r>
      <w:r w:rsidRPr="00704962">
        <w:rPr>
          <w:spacing w:val="4"/>
          <w:sz w:val="16"/>
          <w:szCs w:val="16"/>
        </w:rPr>
        <w:t xml:space="preserve"> </w:t>
      </w:r>
      <w:r w:rsidRPr="00704962">
        <w:rPr>
          <w:sz w:val="16"/>
          <w:szCs w:val="16"/>
        </w:rPr>
        <w:t>Each</w:t>
      </w:r>
      <w:r w:rsidRPr="00704962">
        <w:rPr>
          <w:spacing w:val="2"/>
          <w:sz w:val="16"/>
          <w:szCs w:val="16"/>
        </w:rPr>
        <w:t xml:space="preserve"> </w:t>
      </w:r>
      <w:r w:rsidRPr="00704962">
        <w:rPr>
          <w:sz w:val="16"/>
          <w:szCs w:val="16"/>
        </w:rPr>
        <w:t>diagonal</w:t>
      </w:r>
      <w:r w:rsidRPr="00704962">
        <w:rPr>
          <w:spacing w:val="1"/>
          <w:sz w:val="16"/>
          <w:szCs w:val="16"/>
        </w:rPr>
        <w:t xml:space="preserve"> </w:t>
      </w:r>
      <w:r w:rsidRPr="00704962">
        <w:rPr>
          <w:sz w:val="16"/>
          <w:szCs w:val="16"/>
        </w:rPr>
        <w:t>cell contains</w:t>
      </w:r>
      <w:r w:rsidRPr="00704962">
        <w:rPr>
          <w:spacing w:val="2"/>
          <w:sz w:val="16"/>
          <w:szCs w:val="16"/>
        </w:rPr>
        <w:t xml:space="preserve"> </w:t>
      </w:r>
      <w:r w:rsidRPr="00704962">
        <w:rPr>
          <w:sz w:val="16"/>
          <w:szCs w:val="16"/>
        </w:rPr>
        <w:t>SUCRA</w:t>
      </w:r>
    </w:p>
    <w:p w14:paraId="3D938A38" w14:textId="77777777" w:rsidR="00BE73AB" w:rsidRDefault="00BE73AB" w:rsidP="00704962">
      <w:pPr>
        <w:widowControl w:val="0"/>
        <w:pBdr>
          <w:top w:val="nil"/>
          <w:left w:val="nil"/>
          <w:bottom w:val="nil"/>
          <w:right w:val="nil"/>
          <w:between w:val="nil"/>
        </w:pBdr>
        <w:tabs>
          <w:tab w:val="left" w:pos="410"/>
        </w:tabs>
        <w:ind w:right="11"/>
        <w:jc w:val="both"/>
        <w:rPr>
          <w:sz w:val="16"/>
          <w:szCs w:val="16"/>
        </w:rPr>
      </w:pPr>
    </w:p>
    <w:p w14:paraId="265EF154" w14:textId="7592B87D" w:rsidR="00BE73AB" w:rsidRDefault="00BE73AB" w:rsidP="00BE73AB">
      <w:pPr>
        <w:widowControl w:val="0"/>
        <w:pBdr>
          <w:top w:val="nil"/>
          <w:left w:val="nil"/>
          <w:bottom w:val="nil"/>
          <w:right w:val="nil"/>
          <w:between w:val="nil"/>
        </w:pBdr>
        <w:tabs>
          <w:tab w:val="left" w:pos="410"/>
        </w:tabs>
        <w:ind w:right="11"/>
        <w:jc w:val="center"/>
        <w:rPr>
          <w:b/>
          <w:bCs/>
          <w:color w:val="000000" w:themeColor="text1"/>
          <w:lang w:val="sv-SE"/>
        </w:rPr>
      </w:pPr>
      <w:r w:rsidRPr="00704962">
        <w:rPr>
          <w:b/>
          <w:bCs/>
          <w:color w:val="000000" w:themeColor="text1"/>
          <w:lang w:val="sv-SE"/>
        </w:rPr>
        <w:t xml:space="preserve">Table </w:t>
      </w:r>
      <w:r>
        <w:rPr>
          <w:b/>
          <w:bCs/>
          <w:color w:val="000000" w:themeColor="text1"/>
          <w:lang w:val="sv-SE"/>
        </w:rPr>
        <w:t>7</w:t>
      </w:r>
      <w:r>
        <w:rPr>
          <w:color w:val="000000" w:themeColor="text1"/>
          <w:lang w:val="sv-SE"/>
        </w:rPr>
        <w:t xml:space="preserve"> </w:t>
      </w:r>
      <w:r w:rsidRPr="001C374B">
        <w:rPr>
          <w:b/>
          <w:bCs/>
          <w:color w:val="000000" w:themeColor="text1"/>
          <w:lang w:val="sv-SE"/>
        </w:rPr>
        <w:t xml:space="preserve">Risk Ratio of all treatment comparisons for </w:t>
      </w:r>
      <w:r w:rsidR="003D53D8">
        <w:rPr>
          <w:b/>
          <w:bCs/>
          <w:color w:val="000000" w:themeColor="text1"/>
          <w:lang w:val="sv-SE"/>
        </w:rPr>
        <w:t>patient satisfaction</w:t>
      </w:r>
      <w:r w:rsidRPr="001C374B">
        <w:rPr>
          <w:b/>
          <w:bCs/>
          <w:color w:val="000000" w:themeColor="text1"/>
          <w:lang w:val="sv-SE"/>
        </w:rPr>
        <w:t xml:space="preserve"> estimated from network meta-analysis</w:t>
      </w:r>
    </w:p>
    <w:p w14:paraId="2EE500D3" w14:textId="77777777" w:rsidR="003D53D8" w:rsidRDefault="003D53D8" w:rsidP="00BE73AB">
      <w:pPr>
        <w:widowControl w:val="0"/>
        <w:pBdr>
          <w:top w:val="nil"/>
          <w:left w:val="nil"/>
          <w:bottom w:val="nil"/>
          <w:right w:val="nil"/>
          <w:between w:val="nil"/>
        </w:pBdr>
        <w:tabs>
          <w:tab w:val="left" w:pos="410"/>
        </w:tabs>
        <w:ind w:right="11"/>
        <w:jc w:val="center"/>
        <w:rPr>
          <w:b/>
          <w:bCs/>
          <w:color w:val="000000" w:themeColor="text1"/>
          <w:lang w:val="sv-SE"/>
        </w:rPr>
      </w:pPr>
    </w:p>
    <w:tbl>
      <w:tblPr>
        <w:tblW w:w="7958" w:type="dxa"/>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2553"/>
        <w:gridCol w:w="1664"/>
        <w:gridCol w:w="1955"/>
        <w:gridCol w:w="1786"/>
      </w:tblGrid>
      <w:tr w:rsidR="003D53D8" w14:paraId="7BEFCF8A" w14:textId="77777777" w:rsidTr="0039450E">
        <w:trPr>
          <w:trHeight w:val="415"/>
          <w:jc w:val="center"/>
        </w:trPr>
        <w:tc>
          <w:tcPr>
            <w:tcW w:w="2553" w:type="dxa"/>
            <w:vMerge w:val="restart"/>
          </w:tcPr>
          <w:p w14:paraId="536CD5ED" w14:textId="77777777" w:rsidR="003D53D8" w:rsidRDefault="003D53D8" w:rsidP="00067930">
            <w:pPr>
              <w:pStyle w:val="TableParagraph"/>
              <w:spacing w:line="360" w:lineRule="auto"/>
              <w:ind w:left="908" w:right="645" w:hanging="245"/>
              <w:rPr>
                <w:b/>
                <w:sz w:val="24"/>
              </w:rPr>
            </w:pPr>
            <w:r>
              <w:rPr>
                <w:b/>
                <w:spacing w:val="-1"/>
                <w:sz w:val="24"/>
              </w:rPr>
              <w:t>Reference</w:t>
            </w:r>
            <w:r>
              <w:rPr>
                <w:b/>
                <w:spacing w:val="-57"/>
                <w:sz w:val="24"/>
              </w:rPr>
              <w:t xml:space="preserve"> </w:t>
            </w:r>
            <w:r>
              <w:rPr>
                <w:b/>
                <w:sz w:val="24"/>
              </w:rPr>
              <w:t>Drug</w:t>
            </w:r>
          </w:p>
        </w:tc>
        <w:tc>
          <w:tcPr>
            <w:tcW w:w="1664" w:type="dxa"/>
          </w:tcPr>
          <w:p w14:paraId="1157D412" w14:textId="77777777" w:rsidR="003D53D8" w:rsidRDefault="003D53D8" w:rsidP="00067930">
            <w:pPr>
              <w:pStyle w:val="TableParagraph"/>
            </w:pPr>
          </w:p>
        </w:tc>
        <w:tc>
          <w:tcPr>
            <w:tcW w:w="1955" w:type="dxa"/>
          </w:tcPr>
          <w:p w14:paraId="716F6A63" w14:textId="77777777" w:rsidR="003D53D8" w:rsidRDefault="003D53D8" w:rsidP="00067930">
            <w:pPr>
              <w:pStyle w:val="TableParagraph"/>
              <w:spacing w:line="275" w:lineRule="exact"/>
              <w:ind w:right="154"/>
              <w:jc w:val="right"/>
              <w:rPr>
                <w:b/>
                <w:sz w:val="24"/>
              </w:rPr>
            </w:pPr>
            <w:r>
              <w:rPr>
                <w:b/>
                <w:sz w:val="24"/>
              </w:rPr>
              <w:t>RR</w:t>
            </w:r>
            <w:r>
              <w:rPr>
                <w:b/>
                <w:spacing w:val="-2"/>
                <w:sz w:val="24"/>
              </w:rPr>
              <w:t xml:space="preserve"> </w:t>
            </w:r>
            <w:r>
              <w:rPr>
                <w:b/>
                <w:sz w:val="24"/>
              </w:rPr>
              <w:t>(95%</w:t>
            </w:r>
            <w:r>
              <w:rPr>
                <w:b/>
                <w:spacing w:val="1"/>
                <w:sz w:val="24"/>
              </w:rPr>
              <w:t xml:space="preserve"> </w:t>
            </w:r>
            <w:r>
              <w:rPr>
                <w:b/>
                <w:sz w:val="24"/>
              </w:rPr>
              <w:t>CI)</w:t>
            </w:r>
          </w:p>
        </w:tc>
        <w:tc>
          <w:tcPr>
            <w:tcW w:w="1786" w:type="dxa"/>
          </w:tcPr>
          <w:p w14:paraId="5A514C7A" w14:textId="77777777" w:rsidR="003D53D8" w:rsidRDefault="003D53D8" w:rsidP="00067930">
            <w:pPr>
              <w:pStyle w:val="TableParagraph"/>
            </w:pPr>
          </w:p>
        </w:tc>
      </w:tr>
      <w:tr w:rsidR="003D53D8" w14:paraId="76185FA9" w14:textId="77777777" w:rsidTr="0039450E">
        <w:trPr>
          <w:trHeight w:val="468"/>
          <w:jc w:val="center"/>
        </w:trPr>
        <w:tc>
          <w:tcPr>
            <w:tcW w:w="2553" w:type="dxa"/>
            <w:vMerge/>
          </w:tcPr>
          <w:p w14:paraId="39F9DE90" w14:textId="77777777" w:rsidR="003D53D8" w:rsidRDefault="003D53D8" w:rsidP="00067930">
            <w:pPr>
              <w:rPr>
                <w:sz w:val="2"/>
                <w:szCs w:val="2"/>
              </w:rPr>
            </w:pPr>
          </w:p>
        </w:tc>
        <w:tc>
          <w:tcPr>
            <w:tcW w:w="1664" w:type="dxa"/>
          </w:tcPr>
          <w:p w14:paraId="41DC16D9" w14:textId="77777777" w:rsidR="003D53D8" w:rsidRDefault="003D53D8" w:rsidP="00067930">
            <w:pPr>
              <w:pStyle w:val="TableParagraph"/>
              <w:spacing w:line="275" w:lineRule="exact"/>
              <w:ind w:right="419"/>
              <w:jc w:val="right"/>
              <w:rPr>
                <w:b/>
                <w:sz w:val="24"/>
              </w:rPr>
            </w:pPr>
            <w:r>
              <w:rPr>
                <w:b/>
                <w:sz w:val="24"/>
              </w:rPr>
              <w:t>ISO</w:t>
            </w:r>
          </w:p>
        </w:tc>
        <w:tc>
          <w:tcPr>
            <w:tcW w:w="1955" w:type="dxa"/>
          </w:tcPr>
          <w:p w14:paraId="3365692F" w14:textId="77777777" w:rsidR="003D53D8" w:rsidRDefault="003D53D8" w:rsidP="00067930">
            <w:pPr>
              <w:pStyle w:val="TableParagraph"/>
              <w:spacing w:line="275" w:lineRule="exact"/>
              <w:ind w:right="141"/>
              <w:jc w:val="right"/>
              <w:rPr>
                <w:b/>
                <w:sz w:val="24"/>
              </w:rPr>
            </w:pPr>
            <w:r>
              <w:rPr>
                <w:b/>
                <w:sz w:val="24"/>
              </w:rPr>
              <w:t>ISO+LEVO</w:t>
            </w:r>
          </w:p>
        </w:tc>
        <w:tc>
          <w:tcPr>
            <w:tcW w:w="1786" w:type="dxa"/>
          </w:tcPr>
          <w:p w14:paraId="54810E8F" w14:textId="77777777" w:rsidR="003D53D8" w:rsidRDefault="003D53D8" w:rsidP="00067930">
            <w:pPr>
              <w:pStyle w:val="TableParagraph"/>
              <w:spacing w:line="275" w:lineRule="exact"/>
              <w:ind w:left="123" w:right="113"/>
              <w:jc w:val="center"/>
              <w:rPr>
                <w:b/>
                <w:sz w:val="24"/>
              </w:rPr>
            </w:pPr>
            <w:r>
              <w:rPr>
                <w:b/>
                <w:sz w:val="24"/>
              </w:rPr>
              <w:t>ISO+DESLO</w:t>
            </w:r>
          </w:p>
        </w:tc>
      </w:tr>
      <w:tr w:rsidR="003D53D8" w14:paraId="6ACF5AF5" w14:textId="77777777" w:rsidTr="0039450E">
        <w:trPr>
          <w:trHeight w:val="769"/>
          <w:jc w:val="center"/>
        </w:trPr>
        <w:tc>
          <w:tcPr>
            <w:tcW w:w="2553" w:type="dxa"/>
          </w:tcPr>
          <w:p w14:paraId="201ABCD3" w14:textId="77777777" w:rsidR="003D53D8" w:rsidRDefault="003D53D8" w:rsidP="00067930">
            <w:pPr>
              <w:pStyle w:val="TableParagraph"/>
              <w:spacing w:line="275" w:lineRule="exact"/>
              <w:ind w:left="474" w:right="467"/>
              <w:jc w:val="center"/>
              <w:rPr>
                <w:b/>
                <w:sz w:val="24"/>
              </w:rPr>
            </w:pPr>
            <w:r>
              <w:rPr>
                <w:b/>
                <w:sz w:val="24"/>
              </w:rPr>
              <w:t>ISO</w:t>
            </w:r>
          </w:p>
        </w:tc>
        <w:tc>
          <w:tcPr>
            <w:tcW w:w="1664" w:type="dxa"/>
          </w:tcPr>
          <w:p w14:paraId="3CCAA9D1" w14:textId="77777777" w:rsidR="003D53D8" w:rsidRDefault="003D53D8" w:rsidP="00067930">
            <w:pPr>
              <w:pStyle w:val="TableParagraph"/>
              <w:spacing w:line="275" w:lineRule="exact"/>
              <w:ind w:right="418"/>
              <w:jc w:val="right"/>
              <w:rPr>
                <w:sz w:val="24"/>
              </w:rPr>
            </w:pPr>
            <w:r>
              <w:rPr>
                <w:sz w:val="24"/>
              </w:rPr>
              <w:t>18.6</w:t>
            </w:r>
          </w:p>
        </w:tc>
        <w:tc>
          <w:tcPr>
            <w:tcW w:w="1955" w:type="dxa"/>
          </w:tcPr>
          <w:p w14:paraId="45E1957C" w14:textId="77777777" w:rsidR="003D53D8" w:rsidRDefault="003D53D8" w:rsidP="00067930">
            <w:pPr>
              <w:pStyle w:val="TableParagraph"/>
              <w:spacing w:line="275" w:lineRule="exact"/>
              <w:ind w:left="483" w:right="208"/>
              <w:jc w:val="center"/>
              <w:rPr>
                <w:sz w:val="24"/>
              </w:rPr>
            </w:pPr>
            <w:r>
              <w:rPr>
                <w:sz w:val="24"/>
              </w:rPr>
              <w:t>1.10</w:t>
            </w:r>
          </w:p>
          <w:p w14:paraId="7A3098B9" w14:textId="77777777" w:rsidR="003D53D8" w:rsidRDefault="003D53D8" w:rsidP="00067930">
            <w:pPr>
              <w:pStyle w:val="TableParagraph"/>
              <w:spacing w:before="139"/>
              <w:ind w:left="483" w:right="212"/>
              <w:jc w:val="center"/>
              <w:rPr>
                <w:sz w:val="24"/>
              </w:rPr>
            </w:pPr>
            <w:r>
              <w:rPr>
                <w:sz w:val="24"/>
              </w:rPr>
              <w:t>(0.77,1.57)</w:t>
            </w:r>
          </w:p>
        </w:tc>
        <w:tc>
          <w:tcPr>
            <w:tcW w:w="1786" w:type="dxa"/>
          </w:tcPr>
          <w:p w14:paraId="355FF9E1" w14:textId="77777777" w:rsidR="003D53D8" w:rsidRDefault="003D53D8" w:rsidP="00067930">
            <w:pPr>
              <w:pStyle w:val="TableParagraph"/>
              <w:spacing w:line="275" w:lineRule="exact"/>
              <w:ind w:left="120" w:right="113"/>
              <w:jc w:val="center"/>
              <w:rPr>
                <w:sz w:val="24"/>
              </w:rPr>
            </w:pPr>
            <w:r>
              <w:rPr>
                <w:sz w:val="24"/>
              </w:rPr>
              <w:t>1.64</w:t>
            </w:r>
          </w:p>
          <w:p w14:paraId="3E01EC34" w14:textId="77777777" w:rsidR="003D53D8" w:rsidRDefault="003D53D8" w:rsidP="00067930">
            <w:pPr>
              <w:pStyle w:val="TableParagraph"/>
              <w:spacing w:before="139"/>
              <w:ind w:left="120" w:right="113"/>
              <w:jc w:val="center"/>
              <w:rPr>
                <w:sz w:val="24"/>
              </w:rPr>
            </w:pPr>
            <w:r>
              <w:rPr>
                <w:sz w:val="24"/>
              </w:rPr>
              <w:t>(0.88,3.05)</w:t>
            </w:r>
          </w:p>
        </w:tc>
      </w:tr>
      <w:tr w:rsidR="003D53D8" w14:paraId="5F3855DA" w14:textId="77777777" w:rsidTr="0039450E">
        <w:trPr>
          <w:trHeight w:val="834"/>
          <w:jc w:val="center"/>
        </w:trPr>
        <w:tc>
          <w:tcPr>
            <w:tcW w:w="2553" w:type="dxa"/>
          </w:tcPr>
          <w:p w14:paraId="2FE16191" w14:textId="77777777" w:rsidR="003D53D8" w:rsidRDefault="003D53D8" w:rsidP="00067930">
            <w:pPr>
              <w:pStyle w:val="TableParagraph"/>
              <w:spacing w:before="63"/>
              <w:ind w:left="474" w:right="465"/>
              <w:jc w:val="center"/>
              <w:rPr>
                <w:b/>
                <w:sz w:val="24"/>
              </w:rPr>
            </w:pPr>
            <w:r>
              <w:rPr>
                <w:b/>
                <w:sz w:val="24"/>
              </w:rPr>
              <w:t>ISO+LEVO</w:t>
            </w:r>
          </w:p>
        </w:tc>
        <w:tc>
          <w:tcPr>
            <w:tcW w:w="1664" w:type="dxa"/>
          </w:tcPr>
          <w:p w14:paraId="7468B530" w14:textId="77777777" w:rsidR="003D53D8" w:rsidRDefault="003D53D8" w:rsidP="00067930">
            <w:pPr>
              <w:pStyle w:val="TableParagraph"/>
            </w:pPr>
          </w:p>
        </w:tc>
        <w:tc>
          <w:tcPr>
            <w:tcW w:w="1955" w:type="dxa"/>
          </w:tcPr>
          <w:p w14:paraId="6FFBF782" w14:textId="77777777" w:rsidR="003D53D8" w:rsidRDefault="003D53D8" w:rsidP="00067930">
            <w:pPr>
              <w:pStyle w:val="TableParagraph"/>
              <w:spacing w:before="63"/>
              <w:ind w:left="825"/>
              <w:rPr>
                <w:sz w:val="24"/>
              </w:rPr>
            </w:pPr>
            <w:r>
              <w:rPr>
                <w:sz w:val="24"/>
              </w:rPr>
              <w:t>42.8</w:t>
            </w:r>
          </w:p>
        </w:tc>
        <w:tc>
          <w:tcPr>
            <w:tcW w:w="1786" w:type="dxa"/>
          </w:tcPr>
          <w:p w14:paraId="305326D8" w14:textId="77777777" w:rsidR="003D53D8" w:rsidRDefault="003D53D8" w:rsidP="00067930">
            <w:pPr>
              <w:pStyle w:val="TableParagraph"/>
              <w:spacing w:before="63"/>
              <w:ind w:left="120" w:right="113"/>
              <w:jc w:val="center"/>
              <w:rPr>
                <w:sz w:val="24"/>
              </w:rPr>
            </w:pPr>
            <w:r>
              <w:rPr>
                <w:sz w:val="24"/>
              </w:rPr>
              <w:t>1.49</w:t>
            </w:r>
          </w:p>
          <w:p w14:paraId="0106069D" w14:textId="77777777" w:rsidR="003D53D8" w:rsidRDefault="003D53D8" w:rsidP="00067930">
            <w:pPr>
              <w:pStyle w:val="TableParagraph"/>
              <w:spacing w:before="140"/>
              <w:ind w:left="120" w:right="113"/>
              <w:jc w:val="center"/>
              <w:rPr>
                <w:sz w:val="24"/>
              </w:rPr>
            </w:pPr>
            <w:r>
              <w:rPr>
                <w:sz w:val="24"/>
              </w:rPr>
              <w:t>(0.73,3.06)</w:t>
            </w:r>
          </w:p>
        </w:tc>
      </w:tr>
      <w:tr w:rsidR="003D53D8" w14:paraId="4A83C59A" w14:textId="77777777" w:rsidTr="0039450E">
        <w:trPr>
          <w:trHeight w:val="482"/>
          <w:jc w:val="center"/>
        </w:trPr>
        <w:tc>
          <w:tcPr>
            <w:tcW w:w="2553" w:type="dxa"/>
          </w:tcPr>
          <w:p w14:paraId="0F427B78" w14:textId="77777777" w:rsidR="003D53D8" w:rsidRDefault="003D53D8" w:rsidP="00067930">
            <w:pPr>
              <w:pStyle w:val="TableParagraph"/>
              <w:spacing w:before="63"/>
              <w:ind w:left="474" w:right="467"/>
              <w:jc w:val="center"/>
              <w:rPr>
                <w:b/>
                <w:sz w:val="24"/>
              </w:rPr>
            </w:pPr>
            <w:r>
              <w:rPr>
                <w:b/>
                <w:sz w:val="24"/>
              </w:rPr>
              <w:t>ISO+DESLO</w:t>
            </w:r>
          </w:p>
        </w:tc>
        <w:tc>
          <w:tcPr>
            <w:tcW w:w="1664" w:type="dxa"/>
          </w:tcPr>
          <w:p w14:paraId="04875F6C" w14:textId="77777777" w:rsidR="003D53D8" w:rsidRDefault="003D53D8" w:rsidP="00067930">
            <w:pPr>
              <w:pStyle w:val="TableParagraph"/>
            </w:pPr>
          </w:p>
        </w:tc>
        <w:tc>
          <w:tcPr>
            <w:tcW w:w="1955" w:type="dxa"/>
          </w:tcPr>
          <w:p w14:paraId="586467E2" w14:textId="77777777" w:rsidR="003D53D8" w:rsidRDefault="003D53D8" w:rsidP="00067930">
            <w:pPr>
              <w:pStyle w:val="TableParagraph"/>
            </w:pPr>
          </w:p>
        </w:tc>
        <w:tc>
          <w:tcPr>
            <w:tcW w:w="1786" w:type="dxa"/>
          </w:tcPr>
          <w:p w14:paraId="1EF2250A" w14:textId="77777777" w:rsidR="003D53D8" w:rsidRDefault="003D53D8" w:rsidP="00067930">
            <w:pPr>
              <w:pStyle w:val="TableParagraph"/>
              <w:spacing w:before="63"/>
              <w:ind w:left="120" w:right="113"/>
              <w:jc w:val="center"/>
              <w:rPr>
                <w:sz w:val="24"/>
              </w:rPr>
            </w:pPr>
            <w:r>
              <w:rPr>
                <w:sz w:val="24"/>
              </w:rPr>
              <w:t>88.6</w:t>
            </w:r>
          </w:p>
        </w:tc>
      </w:tr>
    </w:tbl>
    <w:p w14:paraId="3727F830" w14:textId="6E986BB5" w:rsidR="003D53D8" w:rsidRPr="003D53D8" w:rsidRDefault="003D53D8" w:rsidP="003D53D8">
      <w:pPr>
        <w:widowControl w:val="0"/>
        <w:pBdr>
          <w:top w:val="nil"/>
          <w:left w:val="nil"/>
          <w:bottom w:val="nil"/>
          <w:right w:val="nil"/>
          <w:between w:val="nil"/>
        </w:pBdr>
        <w:tabs>
          <w:tab w:val="left" w:pos="410"/>
          <w:tab w:val="left" w:pos="610"/>
        </w:tabs>
        <w:ind w:right="11"/>
        <w:rPr>
          <w:color w:val="000000" w:themeColor="text1"/>
          <w:sz w:val="16"/>
          <w:szCs w:val="16"/>
          <w:lang w:val="sv-SE"/>
        </w:rPr>
      </w:pPr>
      <w:r w:rsidRPr="003D53D8">
        <w:rPr>
          <w:color w:val="000000" w:themeColor="text1"/>
          <w:sz w:val="16"/>
          <w:szCs w:val="16"/>
          <w:lang w:val="sv-SE"/>
        </w:rPr>
        <w:t>* Values in each off-diagonal cell are RR (95% CI) of patient satisfaction from mixed treatment comparisons of treatment in column heading relative to treatment in row heading. Each diagonal cell contains SUCRA</w:t>
      </w:r>
    </w:p>
    <w:p w14:paraId="18343842" w14:textId="77777777" w:rsidR="00BE73AB" w:rsidRPr="00704962" w:rsidRDefault="00BE73AB" w:rsidP="00704962">
      <w:pPr>
        <w:widowControl w:val="0"/>
        <w:pBdr>
          <w:top w:val="nil"/>
          <w:left w:val="nil"/>
          <w:bottom w:val="nil"/>
          <w:right w:val="nil"/>
          <w:between w:val="nil"/>
        </w:pBdr>
        <w:tabs>
          <w:tab w:val="left" w:pos="410"/>
        </w:tabs>
        <w:ind w:right="11"/>
        <w:jc w:val="both"/>
        <w:rPr>
          <w:color w:val="000000" w:themeColor="text1"/>
          <w:sz w:val="16"/>
          <w:szCs w:val="16"/>
          <w:lang w:val="sv-SE"/>
        </w:rPr>
      </w:pPr>
    </w:p>
    <w:p w14:paraId="50F514EF" w14:textId="77777777" w:rsidR="003D53D8" w:rsidRDefault="003D53D8" w:rsidP="003D53D8">
      <w:pPr>
        <w:widowControl w:val="0"/>
        <w:pBdr>
          <w:top w:val="nil"/>
          <w:left w:val="nil"/>
          <w:bottom w:val="nil"/>
          <w:right w:val="nil"/>
          <w:between w:val="nil"/>
        </w:pBdr>
        <w:tabs>
          <w:tab w:val="left" w:pos="410"/>
        </w:tabs>
        <w:ind w:right="11"/>
        <w:jc w:val="center"/>
        <w:rPr>
          <w:b/>
          <w:bCs/>
          <w:color w:val="000000" w:themeColor="text1"/>
          <w:lang w:val="sv-SE"/>
        </w:rPr>
      </w:pPr>
    </w:p>
    <w:p w14:paraId="012333DE" w14:textId="77777777" w:rsidR="003D53D8" w:rsidRDefault="003D53D8" w:rsidP="003D53D8">
      <w:pPr>
        <w:widowControl w:val="0"/>
        <w:pBdr>
          <w:top w:val="nil"/>
          <w:left w:val="nil"/>
          <w:bottom w:val="nil"/>
          <w:right w:val="nil"/>
          <w:between w:val="nil"/>
        </w:pBdr>
        <w:tabs>
          <w:tab w:val="left" w:pos="410"/>
        </w:tabs>
        <w:ind w:right="11"/>
        <w:jc w:val="center"/>
        <w:rPr>
          <w:b/>
          <w:bCs/>
          <w:color w:val="000000" w:themeColor="text1"/>
          <w:lang w:val="sv-SE"/>
        </w:rPr>
      </w:pPr>
    </w:p>
    <w:p w14:paraId="701D89EC" w14:textId="77777777" w:rsidR="005E388B" w:rsidRDefault="003D53D8" w:rsidP="005E388B">
      <w:pPr>
        <w:widowControl w:val="0"/>
        <w:pBdr>
          <w:top w:val="nil"/>
          <w:left w:val="nil"/>
          <w:bottom w:val="nil"/>
          <w:right w:val="nil"/>
          <w:between w:val="nil"/>
        </w:pBdr>
        <w:tabs>
          <w:tab w:val="left" w:pos="410"/>
        </w:tabs>
        <w:ind w:right="11"/>
        <w:jc w:val="center"/>
        <w:rPr>
          <w:b/>
          <w:bCs/>
          <w:color w:val="000000" w:themeColor="text1"/>
          <w:lang w:val="sv-SE"/>
        </w:rPr>
      </w:pPr>
      <w:r>
        <w:rPr>
          <w:noProof/>
          <w:sz w:val="20"/>
        </w:rPr>
        <w:drawing>
          <wp:inline distT="0" distB="0" distL="0" distR="0" wp14:anchorId="7CE91966" wp14:editId="52C73746">
            <wp:extent cx="4571959" cy="2724150"/>
            <wp:effectExtent l="0" t="0" r="635"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15" cstate="print"/>
                    <a:stretch>
                      <a:fillRect/>
                    </a:stretch>
                  </pic:blipFill>
                  <pic:spPr>
                    <a:xfrm>
                      <a:off x="0" y="0"/>
                      <a:ext cx="4591118" cy="2735566"/>
                    </a:xfrm>
                    <a:prstGeom prst="rect">
                      <a:avLst/>
                    </a:prstGeom>
                  </pic:spPr>
                </pic:pic>
              </a:graphicData>
            </a:graphic>
          </wp:inline>
        </w:drawing>
      </w:r>
      <w:r w:rsidR="005E388B" w:rsidRPr="005E388B">
        <w:rPr>
          <w:b/>
          <w:bCs/>
          <w:color w:val="000000" w:themeColor="text1"/>
          <w:lang w:val="sv-SE"/>
        </w:rPr>
        <w:t xml:space="preserve"> </w:t>
      </w:r>
    </w:p>
    <w:p w14:paraId="403E8F38" w14:textId="72F9B18E" w:rsidR="005E388B" w:rsidRDefault="005E388B" w:rsidP="005E388B">
      <w:pPr>
        <w:widowControl w:val="0"/>
        <w:pBdr>
          <w:top w:val="nil"/>
          <w:left w:val="nil"/>
          <w:bottom w:val="nil"/>
          <w:right w:val="nil"/>
          <w:between w:val="nil"/>
        </w:pBdr>
        <w:tabs>
          <w:tab w:val="left" w:pos="410"/>
        </w:tabs>
        <w:ind w:right="11"/>
        <w:jc w:val="center"/>
        <w:rPr>
          <w:b/>
          <w:bCs/>
          <w:color w:val="000000" w:themeColor="text1"/>
          <w:lang w:val="sv-SE"/>
        </w:rPr>
      </w:pPr>
      <w:r>
        <w:rPr>
          <w:b/>
          <w:bCs/>
          <w:color w:val="000000" w:themeColor="text1"/>
          <w:lang w:val="sv-SE"/>
        </w:rPr>
        <w:t>Figure 7</w:t>
      </w:r>
      <w:r w:rsidRPr="00704962">
        <w:rPr>
          <w:b/>
          <w:bCs/>
          <w:color w:val="000000" w:themeColor="text1"/>
          <w:lang w:val="sv-SE"/>
        </w:rPr>
        <w:t>.</w:t>
      </w:r>
      <w:r>
        <w:rPr>
          <w:color w:val="000000" w:themeColor="text1"/>
          <w:lang w:val="sv-SE"/>
        </w:rPr>
        <w:t xml:space="preserve"> </w:t>
      </w:r>
      <w:r w:rsidRPr="003D53D8">
        <w:rPr>
          <w:b/>
          <w:bCs/>
          <w:color w:val="000000" w:themeColor="text1"/>
          <w:lang w:val="sv-SE"/>
        </w:rPr>
        <w:t>Treatments ranking plot for non-inflammatory lesion count, inflammatory lesion count, acne severity score, patient satisfaction, and acne flare in comparison with mucocutaneous adverse events</w:t>
      </w:r>
    </w:p>
    <w:p w14:paraId="11211CA5" w14:textId="557AB3CA" w:rsidR="008412A7" w:rsidRPr="008412A7" w:rsidRDefault="008412A7" w:rsidP="008412A7">
      <w:pPr>
        <w:widowControl w:val="0"/>
        <w:pBdr>
          <w:top w:val="nil"/>
          <w:left w:val="nil"/>
          <w:bottom w:val="nil"/>
          <w:right w:val="nil"/>
          <w:between w:val="nil"/>
        </w:pBdr>
        <w:ind w:right="11"/>
        <w:jc w:val="both"/>
        <w:rPr>
          <w:b/>
          <w:bCs/>
          <w:color w:val="000000" w:themeColor="text1"/>
          <w:lang w:val="sv-SE"/>
        </w:rPr>
      </w:pPr>
      <w:r w:rsidRPr="008412A7">
        <w:rPr>
          <w:b/>
          <w:bCs/>
          <w:color w:val="000000" w:themeColor="text1"/>
          <w:lang w:val="sv-SE"/>
        </w:rPr>
        <w:t>Clinical implications</w:t>
      </w:r>
    </w:p>
    <w:p w14:paraId="3E54B391" w14:textId="07799468"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 xml:space="preserve">The new information provided by the present systematic review can be described as follows. It has included 5 RCTs, more patients (348 patients) and one treatment (levocetirizine + isotretinoin), which were not included in the previous systematic review in 2015.24 Moreover, to the best of our knowledge, NMA on acne vulgaris treatment was performed for the first time in the present review. By applying NMA, all treatments can be compared indirectly with each other despite some of them may have never been compared directly in a primary study, and by their probability of being the best treatment, they can also be ranked. The previous systematic review only described non-inflammatory and inflammatory lesion counts, severity score, acne flare, mucocutaneous adverse events, and patient satisfaction without pooling by meta-analysis. Whereas pairwise and network meta-analyses were also performed on the outcomes that were mentioned before in the present review. As a result, new information on the relative treatment effects according to these outcomes can be applied not only by itself, but also in conjunction with the mucocutaneous adverse events in treatment ranking. </w:t>
      </w:r>
    </w:p>
    <w:p w14:paraId="5279A268" w14:textId="315D1B68" w:rsidR="008412A7" w:rsidRPr="005E388B" w:rsidRDefault="008412A7" w:rsidP="005E388B">
      <w:pPr>
        <w:widowControl w:val="0"/>
        <w:pBdr>
          <w:top w:val="nil"/>
          <w:left w:val="nil"/>
          <w:bottom w:val="nil"/>
          <w:right w:val="nil"/>
          <w:between w:val="nil"/>
        </w:pBdr>
        <w:ind w:right="11"/>
        <w:jc w:val="both"/>
        <w:rPr>
          <w:b/>
          <w:bCs/>
          <w:color w:val="000000" w:themeColor="text1"/>
          <w:lang w:val="sv-SE"/>
        </w:rPr>
      </w:pPr>
      <w:r w:rsidRPr="005E388B">
        <w:rPr>
          <w:b/>
          <w:bCs/>
          <w:color w:val="000000" w:themeColor="text1"/>
          <w:lang w:val="sv-SE"/>
        </w:rPr>
        <w:t>To interpret the pooled USMD from pairwise meta-analysis, levocetirizine</w:t>
      </w:r>
    </w:p>
    <w:p w14:paraId="429DE99A" w14:textId="7AE33CB2"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 isotretinoin might show some clinical benefit compared to isotretinoin alone in inflammatory lesion count (reduced 3 lesions). However, levocetirizine + isotretinoin was clinically not different compared to isotretinoin alone in non-inflammatory lesion count (reduced 3 lesions) and in GAGS score (reduced 4 points). Inflammatory lesions</w:t>
      </w:r>
      <w:r>
        <w:rPr>
          <w:color w:val="000000" w:themeColor="text1"/>
          <w:lang w:val="sv-SE"/>
        </w:rPr>
        <w:t xml:space="preserve"> </w:t>
      </w:r>
      <w:r w:rsidRPr="008412A7">
        <w:rPr>
          <w:color w:val="000000" w:themeColor="text1"/>
          <w:lang w:val="sv-SE"/>
        </w:rPr>
        <w:t xml:space="preserve">are usually easily recognized by a raised of skin area, especially if the patient has excessive amount of nodules, they tend to feel uncomfortable with their face condition. Furthermore, the inflammatory lesion left scars on patients face. While non- inflammatory lesion, they usually not clinically visible. They recognized as “blackheads” and “whiteheads” comedones. Due of that fact, reducing 3 inflammatory lesions were clinically better than only reducing 3 non-inflammatory lesions. In short, reducing inflammatory lesions will make patient more comfortable rather than reducing non-inflammatory that barely visible. For GAGS score, the minimal clinically important difference (MCID) has never been reported in the literature. So authors attempted to determine it roughly by counting how much score is associated with moving from one severity grade to another. For instance, the global score for mild acne ranged from 1 to 18. For moderate acne, the score ranged from 19-30. Meanwhile, severe acne score ranged 31-39. Lastly, very severe acne if the score &gt;39. As we can see, it takes around 10 units to move from one grade. As the result, we assumed a MCID of 10 points for </w:t>
      </w:r>
      <w:r w:rsidR="00EF2784">
        <w:rPr>
          <w:color w:val="000000" w:themeColor="text1"/>
          <w:lang w:val="sv-SE"/>
        </w:rPr>
        <w:t>Global Acne Grading System (</w:t>
      </w:r>
      <w:r w:rsidRPr="008412A7">
        <w:rPr>
          <w:color w:val="000000" w:themeColor="text1"/>
          <w:lang w:val="sv-SE"/>
        </w:rPr>
        <w:t>GAGS</w:t>
      </w:r>
      <w:r w:rsidR="00EF2784">
        <w:rPr>
          <w:color w:val="000000" w:themeColor="text1"/>
          <w:lang w:val="sv-SE"/>
        </w:rPr>
        <w:t>)</w:t>
      </w:r>
      <w:r w:rsidRPr="008412A7">
        <w:rPr>
          <w:color w:val="000000" w:themeColor="text1"/>
          <w:lang w:val="sv-SE"/>
        </w:rPr>
        <w:t xml:space="preserve"> score. Consequently, levocetirizine + isotretinoin, which achieved lower GAGS score by 4 points, was not clinically different compared to isotretinoin alone to decrease overall acne severity.</w:t>
      </w:r>
    </w:p>
    <w:p w14:paraId="3F1791D0" w14:textId="77777777"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However, all of the primary studies reported that the treatments were given, antihistamine + isotretinoin as intervention and isotretinoin as control, at the same time. Moreover, the onset of action antihistamine occurs 1-2 hours after oral administration while that of isotretinoin takes several weeks. In brief, antihistamine has shorter onset. Additionally, each outcome was assessed every 2-4 weeks. However, the time point that the authors chose for the analyses was at 12 weeks or 16 weeks, which was the final assessment time point. Thus, the additional treatment effects of antihistamines may not be presented since the effects isotretinoin, which is much more potent, should have already taken place at the time of assessment.</w:t>
      </w:r>
    </w:p>
    <w:p w14:paraId="36670F4E" w14:textId="27519163"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The reported adverse events were not severe (no need to be hospitalized) and the chance to get mucocutaneous adverse events between desloratadine + isotretinoin and levocetirizine + isotretinoin compared to isotretinoin alone was not different. In addition, drowsiness, the most well-known side-effect of antihistamine, was not reported. Therefore, we may conclude that an addition of a standard-dose</w:t>
      </w:r>
      <w:r>
        <w:rPr>
          <w:color w:val="000000" w:themeColor="text1"/>
          <w:lang w:val="sv-SE"/>
        </w:rPr>
        <w:t xml:space="preserve"> </w:t>
      </w:r>
      <w:r w:rsidRPr="008412A7">
        <w:rPr>
          <w:color w:val="000000" w:themeColor="text1"/>
          <w:lang w:val="sv-SE"/>
        </w:rPr>
        <w:t>antihistamine to isotretinoin is considerably safe in the short term. Authors then tried to rank the treatments to link the efficacy and the adverse events.</w:t>
      </w:r>
    </w:p>
    <w:p w14:paraId="2AC2EBDE" w14:textId="16F48E8B"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When ranking for non-inflammatory lesion count, inflammatory lesion count, patient satisfaction, and acne flare outcomes were applied to mucacutaneous adverse events reaction, desloratadine + isotretinoin looked like the best treatment with the best balance between 5 outcomes, followed by levocetirizine + isotretinoin. While for severity score was applied to mucacutaneous adverse events reaction, levocetirizine + isotretinoin was the best treatment with the best balance between 2 outcomes, followed by desloratadine + isotretinoin. Meanwhile, isotretinoin acne was ranked as the third for all outcomes, i.e., worst. Regarding the different ranking between acne lesion count reduction and severity score as GAGS score depends on the involved body parts of lesion and types of lesions but not directly on the number of lesions, it is not always in agreement with the lesion counts. Therefore, it is not necessary to have same rank for acne lesion reduction and acne severity score. These findings can be used as a guide for physicians in selecting well-balanced for acne vulgaris treatment. Based on these, desloratadine + isotretinoin and levocetirizine + isotretinoin might be a useful acne vulgaris treatment.</w:t>
      </w:r>
    </w:p>
    <w:p w14:paraId="12DF76E6" w14:textId="77777777"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Acne patient might use the antihistamines combine with isotretinoin to reduce acne lesion, especially for inflammatory lesion. The administration of these drugs probably are more comfortable due to all of them administered orally.</w:t>
      </w:r>
    </w:p>
    <w:p w14:paraId="21E10177" w14:textId="66E118D9" w:rsidR="008412A7" w:rsidRPr="008412A7"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Despite of the fact that combination of antihistamine with mostly isotretinoin has potential to treat acne vulgaris, we found very few of clinical trials and only one systematic review without meta-analysis regarding the usage of antihistamine as acne vulgaris treatment</w:t>
      </w:r>
      <w:r w:rsidR="00EF2784">
        <w:rPr>
          <w:color w:val="000000" w:themeColor="text1"/>
          <w:lang w:val="sv-SE"/>
        </w:rPr>
        <w:t xml:space="preserve"> (Wang L, 2015)</w:t>
      </w:r>
      <w:r w:rsidRPr="008412A7">
        <w:rPr>
          <w:color w:val="000000" w:themeColor="text1"/>
          <w:lang w:val="sv-SE"/>
        </w:rPr>
        <w:t>.</w:t>
      </w:r>
      <w:r w:rsidR="00EF2784">
        <w:rPr>
          <w:color w:val="000000" w:themeColor="text1"/>
          <w:lang w:val="sv-SE"/>
        </w:rPr>
        <w:t xml:space="preserve"> </w:t>
      </w:r>
      <w:r w:rsidRPr="008412A7">
        <w:rPr>
          <w:color w:val="000000" w:themeColor="text1"/>
          <w:lang w:val="sv-SE"/>
        </w:rPr>
        <w:t>This might be that most physicians still use current guide to cure acne and still not recognize the potential of adding an antihistamine to acne vulgaris treatment and published in less known journal. Additionally, all of the primary studies used antihistamines in combination with other drug. Therefore, further studies on antihistamine alone might be conducted in the future.</w:t>
      </w:r>
    </w:p>
    <w:p w14:paraId="531D0447" w14:textId="77777777" w:rsidR="008412A7" w:rsidRPr="008412A7" w:rsidRDefault="008412A7" w:rsidP="008412A7">
      <w:pPr>
        <w:widowControl w:val="0"/>
        <w:pBdr>
          <w:top w:val="nil"/>
          <w:left w:val="nil"/>
          <w:bottom w:val="nil"/>
          <w:right w:val="nil"/>
          <w:between w:val="nil"/>
        </w:pBdr>
        <w:ind w:right="11"/>
        <w:jc w:val="both"/>
        <w:rPr>
          <w:b/>
          <w:bCs/>
          <w:color w:val="000000" w:themeColor="text1"/>
          <w:lang w:val="sv-SE"/>
        </w:rPr>
      </w:pPr>
      <w:r w:rsidRPr="008412A7">
        <w:rPr>
          <w:b/>
          <w:bCs/>
          <w:color w:val="000000" w:themeColor="text1"/>
          <w:lang w:val="sv-SE"/>
        </w:rPr>
        <w:t>Strengths and limitations</w:t>
      </w:r>
    </w:p>
    <w:p w14:paraId="1776303D" w14:textId="1B39EE0A" w:rsidR="00850F0C" w:rsidRDefault="008412A7" w:rsidP="008412A7">
      <w:pPr>
        <w:widowControl w:val="0"/>
        <w:pBdr>
          <w:top w:val="nil"/>
          <w:left w:val="nil"/>
          <w:bottom w:val="nil"/>
          <w:right w:val="nil"/>
          <w:between w:val="nil"/>
        </w:pBdr>
        <w:ind w:right="11" w:firstLine="720"/>
        <w:jc w:val="both"/>
        <w:rPr>
          <w:color w:val="000000" w:themeColor="text1"/>
          <w:lang w:val="sv-SE"/>
        </w:rPr>
      </w:pPr>
      <w:r w:rsidRPr="008412A7">
        <w:rPr>
          <w:color w:val="000000" w:themeColor="text1"/>
          <w:lang w:val="sv-SE"/>
        </w:rPr>
        <w:t>The strength of the present systematic review was present review was the first review that allowed network meta-analysis of antihistamine as the acne treatment. In addition, newer treatments were added to those from previous systematic review, and the application of network meta-analysis allows the comparison and ranking of all treatments. However, there are also some limitations in this review. First, the number of included primary studies were small. Secondly, many studies were associated with some concern of bias. Lastly, the sample sizes of the included studies seemed to be rather small.</w:t>
      </w:r>
    </w:p>
    <w:p w14:paraId="2E0CF1CE" w14:textId="77777777" w:rsidR="008412A7" w:rsidRPr="00E66ABF" w:rsidRDefault="008412A7" w:rsidP="00850F0C">
      <w:pPr>
        <w:widowControl w:val="0"/>
        <w:pBdr>
          <w:top w:val="nil"/>
          <w:left w:val="nil"/>
          <w:bottom w:val="nil"/>
          <w:right w:val="nil"/>
          <w:between w:val="nil"/>
        </w:pBdr>
        <w:ind w:right="11" w:firstLine="720"/>
        <w:jc w:val="both"/>
        <w:rPr>
          <w:color w:val="000000" w:themeColor="text1"/>
          <w:lang w:val="sv-SE"/>
        </w:rPr>
      </w:pPr>
    </w:p>
    <w:p w14:paraId="08550EEC" w14:textId="77777777" w:rsidR="00DA43A7" w:rsidRDefault="00000000">
      <w:pPr>
        <w:pBdr>
          <w:top w:val="nil"/>
          <w:left w:val="nil"/>
          <w:bottom w:val="nil"/>
          <w:right w:val="nil"/>
          <w:between w:val="nil"/>
        </w:pBdr>
        <w:jc w:val="both"/>
        <w:rPr>
          <w:color w:val="000000"/>
          <w:sz w:val="28"/>
          <w:szCs w:val="28"/>
        </w:rPr>
      </w:pPr>
      <w:bookmarkStart w:id="5" w:name="_2jxsxqh" w:colFirst="0" w:colLast="0"/>
      <w:bookmarkEnd w:id="5"/>
      <w:r>
        <w:rPr>
          <w:b/>
          <w:color w:val="000000"/>
          <w:sz w:val="28"/>
          <w:szCs w:val="28"/>
        </w:rPr>
        <w:t>Conclusion</w:t>
      </w:r>
    </w:p>
    <w:p w14:paraId="78DD896A" w14:textId="0121BD9A" w:rsidR="00DA43A7" w:rsidRDefault="008412A7" w:rsidP="00303008">
      <w:pPr>
        <w:pBdr>
          <w:top w:val="nil"/>
          <w:left w:val="nil"/>
          <w:bottom w:val="nil"/>
          <w:right w:val="nil"/>
          <w:between w:val="nil"/>
        </w:pBdr>
        <w:ind w:firstLine="720"/>
        <w:jc w:val="both"/>
        <w:rPr>
          <w:color w:val="000000" w:themeColor="text1"/>
          <w:lang w:val="en-ID"/>
        </w:rPr>
      </w:pPr>
      <w:r w:rsidRPr="008412A7">
        <w:rPr>
          <w:color w:val="000000" w:themeColor="text1"/>
          <w:lang w:val="en-ID"/>
        </w:rPr>
        <w:t>Levocetirizine + isotretinoin had clinically better compared to isotretinoin alone in inflammatory lesion count. However, levocetirizine + isotretinoin was clinically not different compared to isotretinoin alone in non-inflammatory lesion count. Desloratadine + isotretinoin retained the best balance between achieving non- inflammatory lesion count, inflammatory lesion count, acne flare, and mucocutaneous adverse events. Desloratadine + isotretinoin and levocetirizine + isotretinoin were safe to use. While for balance achieving severity score and mucocutaneous adverse events, levocetirizine + isotretinoin was the best treatment. Further studies on antihistamine alone might be conducted in the future</w:t>
      </w:r>
      <w:r w:rsidR="000C0187">
        <w:rPr>
          <w:color w:val="000000" w:themeColor="text1"/>
          <w:lang w:val="en-ID"/>
        </w:rPr>
        <w:t>.</w:t>
      </w:r>
    </w:p>
    <w:p w14:paraId="798B7DD6" w14:textId="77777777" w:rsidR="00C32891" w:rsidRDefault="00C32891">
      <w:pPr>
        <w:pBdr>
          <w:top w:val="nil"/>
          <w:left w:val="nil"/>
          <w:bottom w:val="nil"/>
          <w:right w:val="nil"/>
          <w:between w:val="nil"/>
        </w:pBdr>
        <w:spacing w:line="276" w:lineRule="auto"/>
        <w:jc w:val="both"/>
        <w:rPr>
          <w:b/>
          <w:color w:val="000000"/>
          <w:sz w:val="28"/>
          <w:szCs w:val="28"/>
        </w:rPr>
      </w:pPr>
    </w:p>
    <w:p w14:paraId="1E4AA6FC" w14:textId="77777777" w:rsidR="005E388B" w:rsidRDefault="00E30F7A" w:rsidP="005E388B">
      <w:pPr>
        <w:pBdr>
          <w:top w:val="nil"/>
          <w:left w:val="nil"/>
          <w:bottom w:val="nil"/>
          <w:right w:val="nil"/>
          <w:between w:val="nil"/>
        </w:pBdr>
        <w:spacing w:line="276" w:lineRule="auto"/>
        <w:jc w:val="both"/>
        <w:rPr>
          <w:b/>
          <w:color w:val="000000"/>
          <w:sz w:val="28"/>
          <w:szCs w:val="28"/>
        </w:rPr>
      </w:pPr>
      <w:bookmarkStart w:id="6" w:name="_Hlk148815063"/>
      <w:r>
        <w:rPr>
          <w:b/>
          <w:color w:val="000000"/>
          <w:sz w:val="28"/>
          <w:szCs w:val="28"/>
        </w:rPr>
        <w:t>References</w:t>
      </w:r>
      <w:bookmarkEnd w:id="6"/>
    </w:p>
    <w:p w14:paraId="4016D301" w14:textId="30F4DE46" w:rsidR="005E388B" w:rsidRPr="005E388B" w:rsidRDefault="005E388B" w:rsidP="005E388B">
      <w:pPr>
        <w:pBdr>
          <w:top w:val="nil"/>
          <w:left w:val="nil"/>
          <w:bottom w:val="nil"/>
          <w:right w:val="nil"/>
          <w:between w:val="nil"/>
        </w:pBdr>
        <w:spacing w:line="276" w:lineRule="auto"/>
        <w:ind w:left="567" w:hanging="567"/>
        <w:jc w:val="both"/>
        <w:rPr>
          <w:b/>
          <w:color w:val="000000"/>
          <w:sz w:val="28"/>
          <w:szCs w:val="28"/>
        </w:rPr>
      </w:pPr>
      <w:r>
        <w:fldChar w:fldCharType="begin" w:fldLock="1"/>
      </w:r>
      <w:r>
        <w:instrText xml:space="preserve">ADDIN Mendeley Bibliography CSL_BIBLIOGRAPHY </w:instrText>
      </w:r>
      <w:r>
        <w:fldChar w:fldCharType="separate"/>
      </w:r>
      <w:r w:rsidRPr="005E388B">
        <w:rPr>
          <w:noProof/>
        </w:rPr>
        <w:t xml:space="preserve">Al-Kubaisy, Waqar, Abdullah, Nik Nairan, Kahn, Sabzali Musa, &amp; Zia, Maram. (2014). Sociodemographic characteristics of acne among university students in Damascus, Syria. </w:t>
      </w:r>
      <w:r w:rsidRPr="005E388B">
        <w:rPr>
          <w:i/>
          <w:iCs/>
          <w:noProof/>
        </w:rPr>
        <w:t>Epidemiology Research International</w:t>
      </w:r>
      <w:r w:rsidRPr="005E388B">
        <w:rPr>
          <w:noProof/>
        </w:rPr>
        <w:t xml:space="preserve">, </w:t>
      </w:r>
      <w:r w:rsidRPr="005E388B">
        <w:rPr>
          <w:i/>
          <w:iCs/>
          <w:noProof/>
        </w:rPr>
        <w:t>2014</w:t>
      </w:r>
      <w:r w:rsidRPr="005E388B">
        <w:rPr>
          <w:noProof/>
        </w:rPr>
        <w:t>.</w:t>
      </w:r>
    </w:p>
    <w:p w14:paraId="46A9A661"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Al Robaee, Ahmad A. (2009). Assessment of general health and quality of life in patients with acne using a validated generic questionnaire. </w:t>
      </w:r>
      <w:r w:rsidRPr="005E388B">
        <w:rPr>
          <w:i/>
          <w:iCs/>
          <w:noProof/>
        </w:rPr>
        <w:t>Acta Dermatovenerol Alp Panonica Adriat</w:t>
      </w:r>
      <w:r w:rsidRPr="005E388B">
        <w:rPr>
          <w:noProof/>
        </w:rPr>
        <w:t xml:space="preserve">, </w:t>
      </w:r>
      <w:r w:rsidRPr="005E388B">
        <w:rPr>
          <w:i/>
          <w:iCs/>
          <w:noProof/>
        </w:rPr>
        <w:t>18</w:t>
      </w:r>
      <w:r w:rsidRPr="005E388B">
        <w:rPr>
          <w:noProof/>
        </w:rPr>
        <w:t>(4), 157–164.</w:t>
      </w:r>
    </w:p>
    <w:p w14:paraId="7560A8FB"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Ali, Faiz, Hasni, Muhammad Shafi, Ali, Shah Zain, Nadeem, Muhammad, Khan, Anwer, &amp; Mehak, Tehmina. (2019). 5. Determination of various risk factors associated with acne vulgaris infection in Quetta, Pakistan. </w:t>
      </w:r>
      <w:r w:rsidRPr="005E388B">
        <w:rPr>
          <w:i/>
          <w:iCs/>
          <w:noProof/>
        </w:rPr>
        <w:t>Pure and Applied Biology (PAB)</w:t>
      </w:r>
      <w:r w:rsidRPr="005E388B">
        <w:rPr>
          <w:noProof/>
        </w:rPr>
        <w:t xml:space="preserve">, </w:t>
      </w:r>
      <w:r w:rsidRPr="005E388B">
        <w:rPr>
          <w:i/>
          <w:iCs/>
          <w:noProof/>
        </w:rPr>
        <w:t>8</w:t>
      </w:r>
      <w:r w:rsidRPr="005E388B">
        <w:rPr>
          <w:noProof/>
        </w:rPr>
        <w:t>(3), 1919–1924.</w:t>
      </w:r>
    </w:p>
    <w:p w14:paraId="183FABE8"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Cheung, C. M. K., Chiu, P. -Y., &amp; Lee, M. K. O. (2011). Online social networks: Why do students use facebook? </w:t>
      </w:r>
      <w:r w:rsidRPr="005E388B">
        <w:rPr>
          <w:i/>
          <w:iCs/>
          <w:noProof/>
        </w:rPr>
        <w:t>Computers in Human Behavior</w:t>
      </w:r>
      <w:r w:rsidRPr="005E388B">
        <w:rPr>
          <w:noProof/>
        </w:rPr>
        <w:t xml:space="preserve">, </w:t>
      </w:r>
      <w:r w:rsidRPr="005E388B">
        <w:rPr>
          <w:i/>
          <w:iCs/>
          <w:noProof/>
        </w:rPr>
        <w:t>27</w:t>
      </w:r>
      <w:r w:rsidRPr="005E388B">
        <w:rPr>
          <w:noProof/>
        </w:rPr>
        <w:t>, 1337–1343. https://doi.org/http://doi. org/10. 1016/j. chb. 2010. 07. 028, 2011</w:t>
      </w:r>
    </w:p>
    <w:p w14:paraId="5DB2AD89"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Costa, Caroline S., Bagatin, Ediléia, Martimbianco, Ana Luiza C., da Silva, Edina M. K., Lúcio, Marília M., Magin, Parker, &amp; Riera, Rachel. (2018). Oral isotretinoin for acne. </w:t>
      </w:r>
      <w:r w:rsidRPr="005E388B">
        <w:rPr>
          <w:i/>
          <w:iCs/>
          <w:noProof/>
        </w:rPr>
        <w:t>Cochrane Database of Systematic Reviews</w:t>
      </w:r>
      <w:r w:rsidRPr="005E388B">
        <w:rPr>
          <w:noProof/>
        </w:rPr>
        <w:t>, (11).</w:t>
      </w:r>
    </w:p>
    <w:p w14:paraId="2AB83AD6"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Dalgard, Florence, Gieler, Uwe, Holm, Jan Øivind, Bjertness, Espen, &amp; Hauser, Stuart. (2008). Self-esteem and body satisfaction among late adolescents with acne: results from a population survey. </w:t>
      </w:r>
      <w:r w:rsidRPr="005E388B">
        <w:rPr>
          <w:i/>
          <w:iCs/>
          <w:noProof/>
        </w:rPr>
        <w:t>Journal of the American Academy of Dermatology</w:t>
      </w:r>
      <w:r w:rsidRPr="005E388B">
        <w:rPr>
          <w:noProof/>
        </w:rPr>
        <w:t xml:space="preserve">, </w:t>
      </w:r>
      <w:r w:rsidRPr="005E388B">
        <w:rPr>
          <w:i/>
          <w:iCs/>
          <w:noProof/>
        </w:rPr>
        <w:t>59</w:t>
      </w:r>
      <w:r w:rsidRPr="005E388B">
        <w:rPr>
          <w:noProof/>
        </w:rPr>
        <w:t>(5), 746–751.</w:t>
      </w:r>
    </w:p>
    <w:p w14:paraId="78B5E3F4"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Dhaher, Samer A., &amp; Jasim, Zahraa M. (2018). The adjunctive effect of desloratadine on the combined azithromycin and isotretinoin in the treatment of severe acne: Randomized clinical trial. </w:t>
      </w:r>
      <w:r w:rsidRPr="005E388B">
        <w:rPr>
          <w:i/>
          <w:iCs/>
          <w:noProof/>
        </w:rPr>
        <w:t>Journal of Dermatology and Dermatologic Surgery</w:t>
      </w:r>
      <w:r w:rsidRPr="005E388B">
        <w:rPr>
          <w:noProof/>
        </w:rPr>
        <w:t xml:space="preserve">, </w:t>
      </w:r>
      <w:r w:rsidRPr="005E388B">
        <w:rPr>
          <w:i/>
          <w:iCs/>
          <w:noProof/>
        </w:rPr>
        <w:t>22</w:t>
      </w:r>
      <w:r w:rsidRPr="005E388B">
        <w:rPr>
          <w:noProof/>
        </w:rPr>
        <w:t>(1), 21–25.</w:t>
      </w:r>
    </w:p>
    <w:p w14:paraId="74F6FB07"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Goh, Chee Leok, Abad‐Casintahan, Flordeliz, Aw, Derrick Chen Wee, Baba, Roshidah, Chan, Lee Chin, Hung, Nguyen Thanh, Kulthanan, Kanokvalai, Leong, Hoe Nam, Medina‐Oblepias, Marie Socouer, &amp; Noppakun, Nopadon. (2015). South‐East Asia study alliance guidelines on the management of acne vulgaris in South‐East Asian patients. </w:t>
      </w:r>
      <w:r w:rsidRPr="005E388B">
        <w:rPr>
          <w:i/>
          <w:iCs/>
          <w:noProof/>
        </w:rPr>
        <w:t>The Journal of dermatology</w:t>
      </w:r>
      <w:r w:rsidRPr="005E388B">
        <w:rPr>
          <w:noProof/>
        </w:rPr>
        <w:t xml:space="preserve">, </w:t>
      </w:r>
      <w:r w:rsidRPr="005E388B">
        <w:rPr>
          <w:i/>
          <w:iCs/>
          <w:noProof/>
        </w:rPr>
        <w:t>42</w:t>
      </w:r>
      <w:r w:rsidRPr="005E388B">
        <w:rPr>
          <w:noProof/>
        </w:rPr>
        <w:t>(10), 945–953.</w:t>
      </w:r>
    </w:p>
    <w:p w14:paraId="42093141"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Holzmann, R., &amp; Shakery, K. (2013). Postadolescent acne in females. </w:t>
      </w:r>
      <w:r w:rsidRPr="005E388B">
        <w:rPr>
          <w:i/>
          <w:iCs/>
          <w:noProof/>
        </w:rPr>
        <w:t>Skin pharmacology and physiology</w:t>
      </w:r>
      <w:r w:rsidRPr="005E388B">
        <w:rPr>
          <w:noProof/>
        </w:rPr>
        <w:t xml:space="preserve">, </w:t>
      </w:r>
      <w:r w:rsidRPr="005E388B">
        <w:rPr>
          <w:i/>
          <w:iCs/>
          <w:noProof/>
        </w:rPr>
        <w:t>27</w:t>
      </w:r>
      <w:r w:rsidRPr="005E388B">
        <w:rPr>
          <w:noProof/>
        </w:rPr>
        <w:t>(Suppl. 1), 3–8.</w:t>
      </w:r>
    </w:p>
    <w:p w14:paraId="75B3723C"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Lai, Jiann Jyh, Chang, Philip, Lai, Kuo Pao, Chen, Lumin, &amp; Chang, Chawnshang. (2012). The role of androgen and androgen receptor in skin-related disorders. </w:t>
      </w:r>
      <w:r w:rsidRPr="005E388B">
        <w:rPr>
          <w:i/>
          <w:iCs/>
          <w:noProof/>
        </w:rPr>
        <w:t>Archives of dermatological research</w:t>
      </w:r>
      <w:r w:rsidRPr="005E388B">
        <w:rPr>
          <w:noProof/>
        </w:rPr>
        <w:t xml:space="preserve">, </w:t>
      </w:r>
      <w:r w:rsidRPr="005E388B">
        <w:rPr>
          <w:i/>
          <w:iCs/>
          <w:noProof/>
        </w:rPr>
        <w:t>304</w:t>
      </w:r>
      <w:r w:rsidRPr="005E388B">
        <w:rPr>
          <w:noProof/>
        </w:rPr>
        <w:t>, 499–510.</w:t>
      </w:r>
    </w:p>
    <w:p w14:paraId="00327005"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Lee, Hae Eul, Chang, In Kyu, Lee, Young, Kim, Chang Deok, Seo, Young Joon, Lee, Jeung Hoon, &amp; Im, Myung. (2014). Effect of antihistamine as an adjuvant treatment of isotretinoin in acne: a randomized, controlled comparative study. </w:t>
      </w:r>
      <w:r w:rsidRPr="005E388B">
        <w:rPr>
          <w:i/>
          <w:iCs/>
          <w:noProof/>
        </w:rPr>
        <w:t>Journal of the European Academy of Dermatology and Venereology</w:t>
      </w:r>
      <w:r w:rsidRPr="005E388B">
        <w:rPr>
          <w:noProof/>
        </w:rPr>
        <w:t xml:space="preserve">, </w:t>
      </w:r>
      <w:r w:rsidRPr="005E388B">
        <w:rPr>
          <w:i/>
          <w:iCs/>
          <w:noProof/>
        </w:rPr>
        <w:t>28</w:t>
      </w:r>
      <w:r w:rsidRPr="005E388B">
        <w:rPr>
          <w:noProof/>
        </w:rPr>
        <w:t>(12), 1654–1660.</w:t>
      </w:r>
    </w:p>
    <w:p w14:paraId="2A002BFC"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Nast, A., Dreno, B., Bettoli, V., Degitz, K., Erdmann, R., Finlay, A. Y., Ganceviciene, R., Haedersdal, M., Layton, A., &amp; López‐Estebaranz, J. L. (2012). European evidence‐based (S3) guidelines for the treatment of acne. </w:t>
      </w:r>
      <w:r w:rsidRPr="005E388B">
        <w:rPr>
          <w:i/>
          <w:iCs/>
          <w:noProof/>
        </w:rPr>
        <w:t>Journal of the European Academy of Dermatology and Venereology</w:t>
      </w:r>
      <w:r w:rsidRPr="005E388B">
        <w:rPr>
          <w:noProof/>
        </w:rPr>
        <w:t>, Vol 26, bll 1–29. Blackwell Publishing Ltd Oxford, UK.</w:t>
      </w:r>
    </w:p>
    <w:p w14:paraId="63A436EA"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Pandey, D., &amp; Agrawal, S. (2019). Efficacy of isotretinoin and antihistamine versus isotretinoin alone in the treatment of moderate to severe acne: a randomised control trial. </w:t>
      </w:r>
      <w:r w:rsidRPr="005E388B">
        <w:rPr>
          <w:i/>
          <w:iCs/>
          <w:noProof/>
        </w:rPr>
        <w:t>Kathmandu Univ Med J</w:t>
      </w:r>
      <w:r w:rsidRPr="005E388B">
        <w:rPr>
          <w:noProof/>
        </w:rPr>
        <w:t xml:space="preserve">, </w:t>
      </w:r>
      <w:r w:rsidRPr="005E388B">
        <w:rPr>
          <w:i/>
          <w:iCs/>
          <w:noProof/>
        </w:rPr>
        <w:t>17</w:t>
      </w:r>
      <w:r w:rsidRPr="005E388B">
        <w:rPr>
          <w:noProof/>
        </w:rPr>
        <w:t>(65), 14–19.</w:t>
      </w:r>
    </w:p>
    <w:p w14:paraId="2DDBAB77"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Pelle, Edward, McCarthy, James, Seltmann, Holger, Huang, Xi, Mammone, Thomas, Zouboulis, Christos C., &amp; Maes, Daniel. (2008). Identification of histamine receptors and reduction of squalene levels by an antihistamine in sebocytes. </w:t>
      </w:r>
      <w:r w:rsidRPr="005E388B">
        <w:rPr>
          <w:i/>
          <w:iCs/>
          <w:noProof/>
        </w:rPr>
        <w:t>Journal of Investigative Dermatology</w:t>
      </w:r>
      <w:r w:rsidRPr="005E388B">
        <w:rPr>
          <w:noProof/>
        </w:rPr>
        <w:t xml:space="preserve">, </w:t>
      </w:r>
      <w:r w:rsidRPr="005E388B">
        <w:rPr>
          <w:i/>
          <w:iCs/>
          <w:noProof/>
        </w:rPr>
        <w:t>128</w:t>
      </w:r>
      <w:r w:rsidRPr="005E388B">
        <w:rPr>
          <w:noProof/>
        </w:rPr>
        <w:t>(5), 1280–1285.</w:t>
      </w:r>
    </w:p>
    <w:p w14:paraId="5F4DC2C1"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Radtke, Marc A., Schäfer, Ines, &amp; Augustin, Matthias. (2010). Pharmakoökonomie der Akne–Bewertung von Nutzen und Wirtschaftlichkeit. </w:t>
      </w:r>
      <w:r w:rsidRPr="005E388B">
        <w:rPr>
          <w:i/>
          <w:iCs/>
          <w:noProof/>
        </w:rPr>
        <w:t>JDDG: Journal der Deutschen Dermatologischen Gesellschaft</w:t>
      </w:r>
      <w:r w:rsidRPr="005E388B">
        <w:rPr>
          <w:noProof/>
        </w:rPr>
        <w:t xml:space="preserve">, </w:t>
      </w:r>
      <w:r w:rsidRPr="005E388B">
        <w:rPr>
          <w:i/>
          <w:iCs/>
          <w:noProof/>
        </w:rPr>
        <w:t>8</w:t>
      </w:r>
      <w:r w:rsidRPr="005E388B">
        <w:rPr>
          <w:noProof/>
        </w:rPr>
        <w:t>, S105–S114.</w:t>
      </w:r>
    </w:p>
    <w:p w14:paraId="45354DBD"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Shen, Yiwei, Wang, Tinglin, Zhou, Cheng, Wang, Xiaoyan, Ding, Xiaolan, Tian, Shan, Liu, Ying, Peng, Guanghui, Xue, Shuqi, &amp; Zhou, June. (2012). Prevalence of acne vulgaris in Chinese adolescents and adults: a community-based study of 17,345 subjects in six cities. </w:t>
      </w:r>
      <w:r w:rsidRPr="005E388B">
        <w:rPr>
          <w:i/>
          <w:iCs/>
          <w:noProof/>
        </w:rPr>
        <w:t>Acta dermato-venereologica</w:t>
      </w:r>
      <w:r w:rsidRPr="005E388B">
        <w:rPr>
          <w:noProof/>
        </w:rPr>
        <w:t xml:space="preserve">, </w:t>
      </w:r>
      <w:r w:rsidRPr="005E388B">
        <w:rPr>
          <w:i/>
          <w:iCs/>
          <w:noProof/>
        </w:rPr>
        <w:t>92</w:t>
      </w:r>
      <w:r w:rsidRPr="005E388B">
        <w:rPr>
          <w:noProof/>
        </w:rPr>
        <w:t>(1), 40–44.</w:t>
      </w:r>
    </w:p>
    <w:p w14:paraId="28F42D85"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Sterne, Jonathan A. C., Savović, Jelena, Page, Matthew J., Elbers, Roy G., Blencowe, Natalie S., Boutron, Isabelle, Cates, Christopher J., Cheng, Hung Yuan, Corbett, Mark S., &amp; Eldridge, Sandra M. (2019). RoB 2: a revised tool for assessing risk of bias in randomised trials. </w:t>
      </w:r>
      <w:r w:rsidRPr="005E388B">
        <w:rPr>
          <w:i/>
          <w:iCs/>
          <w:noProof/>
        </w:rPr>
        <w:t>bmj</w:t>
      </w:r>
      <w:r w:rsidRPr="005E388B">
        <w:rPr>
          <w:noProof/>
        </w:rPr>
        <w:t xml:space="preserve">, </w:t>
      </w:r>
      <w:r w:rsidRPr="005E388B">
        <w:rPr>
          <w:i/>
          <w:iCs/>
          <w:noProof/>
        </w:rPr>
        <w:t>366</w:t>
      </w:r>
      <w:r w:rsidRPr="005E388B">
        <w:rPr>
          <w:noProof/>
        </w:rPr>
        <w:t>.</w:t>
      </w:r>
    </w:p>
    <w:p w14:paraId="3A830356"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Tan, Jerry K. L., &amp; Bhate, K. (2015). A global perspective on the epidemiology of acne. </w:t>
      </w:r>
      <w:r w:rsidRPr="005E388B">
        <w:rPr>
          <w:i/>
          <w:iCs/>
          <w:noProof/>
        </w:rPr>
        <w:t>British Journal of Dermatology</w:t>
      </w:r>
      <w:r w:rsidRPr="005E388B">
        <w:rPr>
          <w:noProof/>
        </w:rPr>
        <w:t xml:space="preserve">, </w:t>
      </w:r>
      <w:r w:rsidRPr="005E388B">
        <w:rPr>
          <w:i/>
          <w:iCs/>
          <w:noProof/>
        </w:rPr>
        <w:t>172</w:t>
      </w:r>
      <w:r w:rsidRPr="005E388B">
        <w:rPr>
          <w:noProof/>
        </w:rPr>
        <w:t>, 3–12.</w:t>
      </w:r>
    </w:p>
    <w:p w14:paraId="4F23C0AD"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Tanghetti, Emil A., Kawata, Ariane K., Daniels, Selena R., Yeomans, Karen, Burk, Caroline T., &amp; Callender, Valerie D. (2014). Understanding the burden of adult female acne. </w:t>
      </w:r>
      <w:r w:rsidRPr="005E388B">
        <w:rPr>
          <w:i/>
          <w:iCs/>
          <w:noProof/>
        </w:rPr>
        <w:t>The Journal of clinical and aesthetic dermatology</w:t>
      </w:r>
      <w:r w:rsidRPr="005E388B">
        <w:rPr>
          <w:noProof/>
        </w:rPr>
        <w:t xml:space="preserve">, </w:t>
      </w:r>
      <w:r w:rsidRPr="005E388B">
        <w:rPr>
          <w:i/>
          <w:iCs/>
          <w:noProof/>
        </w:rPr>
        <w:t>7</w:t>
      </w:r>
      <w:r w:rsidRPr="005E388B">
        <w:rPr>
          <w:noProof/>
        </w:rPr>
        <w:t>(2), 22.</w:t>
      </w:r>
    </w:p>
    <w:p w14:paraId="29A37CCC"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Van, Thuong Nguyen, Thi, Lan Duong, Trong, Hao Nguyen, Van, Tro Chau, Minh, Trang Trinh, Minh, Phuong Pham Thi, Huu, Nghi Dinh, Le Huyen, My, Hau, Khang Tran, &amp; Gandolfi, Marco. (2019). Efficacy of oral isotretinoin in combination with desloratadine in the treatment of common vulgaris acne in vietnamese patients. </w:t>
      </w:r>
      <w:r w:rsidRPr="005E388B">
        <w:rPr>
          <w:i/>
          <w:iCs/>
          <w:noProof/>
        </w:rPr>
        <w:t>Open Access Macedonian Journal of Medical Sciences</w:t>
      </w:r>
      <w:r w:rsidRPr="005E388B">
        <w:rPr>
          <w:noProof/>
        </w:rPr>
        <w:t xml:space="preserve">, </w:t>
      </w:r>
      <w:r w:rsidRPr="005E388B">
        <w:rPr>
          <w:i/>
          <w:iCs/>
          <w:noProof/>
        </w:rPr>
        <w:t>7</w:t>
      </w:r>
      <w:r w:rsidRPr="005E388B">
        <w:rPr>
          <w:noProof/>
        </w:rPr>
        <w:t>(2), 217.</w:t>
      </w:r>
    </w:p>
    <w:p w14:paraId="7FF770AD"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Wang, Lorraine. (2015). Antihistamine: A Useful Medication with Minimal Adverse Drug Reactions to Improve Acne Symptoms and Reduce Sebum Production. </w:t>
      </w:r>
      <w:r w:rsidRPr="005E388B">
        <w:rPr>
          <w:i/>
          <w:iCs/>
          <w:noProof/>
        </w:rPr>
        <w:t>School of Physician Assistant Studies</w:t>
      </w:r>
      <w:r w:rsidRPr="005E388B">
        <w:rPr>
          <w:noProof/>
        </w:rPr>
        <w:t xml:space="preserve">, </w:t>
      </w:r>
      <w:r w:rsidRPr="005E388B">
        <w:rPr>
          <w:i/>
          <w:iCs/>
          <w:noProof/>
        </w:rPr>
        <w:t>508</w:t>
      </w:r>
      <w:r w:rsidRPr="005E388B">
        <w:rPr>
          <w:noProof/>
        </w:rPr>
        <w:t>.</w:t>
      </w:r>
    </w:p>
    <w:p w14:paraId="52AAA37E"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Yoopetch, Panida, Anothaisintawee, Thunyarat, Gunasekara, Agampodi Danushi M., Jittikoon, Jiraphun, Udomsinprasert, Wanvisa, Thavorncharoensap, Montarat, Youngkong, Sitaporn, Thakkinstian, Ammarin, &amp; Chaikledkaew, Usa. (2023). Efficacy of anti-tuberculosis drugs for the treatment of latent tuberculosis infection: a systematic review and network meta-analysis. </w:t>
      </w:r>
      <w:r w:rsidRPr="005E388B">
        <w:rPr>
          <w:i/>
          <w:iCs/>
          <w:noProof/>
        </w:rPr>
        <w:t>Scientific Reports</w:t>
      </w:r>
      <w:r w:rsidRPr="005E388B">
        <w:rPr>
          <w:noProof/>
        </w:rPr>
        <w:t xml:space="preserve">, </w:t>
      </w:r>
      <w:r w:rsidRPr="005E388B">
        <w:rPr>
          <w:i/>
          <w:iCs/>
          <w:noProof/>
        </w:rPr>
        <w:t>13</w:t>
      </w:r>
      <w:r w:rsidRPr="005E388B">
        <w:rPr>
          <w:noProof/>
        </w:rPr>
        <w:t>(1), 16240.</w:t>
      </w:r>
    </w:p>
    <w:p w14:paraId="774F0258"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Yosef, Ayman, Dawoud, Noha M., &amp; Gharib, Khaled. (2017). Preliminary evaluation of the clinical efficacy of antihistamines as an adjuvant treatment to isotretinoin for acne vulgaris. </w:t>
      </w:r>
      <w:r w:rsidRPr="005E388B">
        <w:rPr>
          <w:i/>
          <w:iCs/>
          <w:noProof/>
        </w:rPr>
        <w:t>Journal of the Egyptian Women’s Dermatologic Society</w:t>
      </w:r>
      <w:r w:rsidRPr="005E388B">
        <w:rPr>
          <w:noProof/>
        </w:rPr>
        <w:t xml:space="preserve">, </w:t>
      </w:r>
      <w:r w:rsidRPr="005E388B">
        <w:rPr>
          <w:i/>
          <w:iCs/>
          <w:noProof/>
        </w:rPr>
        <w:t>14</w:t>
      </w:r>
      <w:r w:rsidRPr="005E388B">
        <w:rPr>
          <w:noProof/>
        </w:rPr>
        <w:t>(1), 49–55.</w:t>
      </w:r>
    </w:p>
    <w:p w14:paraId="2D19E78D"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Zaenglein, Andrea L. (2018). Acne vulgaris. </w:t>
      </w:r>
      <w:r w:rsidRPr="005E388B">
        <w:rPr>
          <w:i/>
          <w:iCs/>
          <w:noProof/>
        </w:rPr>
        <w:t>New England Journal of Medicine</w:t>
      </w:r>
      <w:r w:rsidRPr="005E388B">
        <w:rPr>
          <w:noProof/>
        </w:rPr>
        <w:t xml:space="preserve">, </w:t>
      </w:r>
      <w:r w:rsidRPr="005E388B">
        <w:rPr>
          <w:i/>
          <w:iCs/>
          <w:noProof/>
        </w:rPr>
        <w:t>379</w:t>
      </w:r>
      <w:r w:rsidRPr="005E388B">
        <w:rPr>
          <w:noProof/>
        </w:rPr>
        <w:t>(14), 1343–1352.</w:t>
      </w:r>
    </w:p>
    <w:p w14:paraId="55D4D02E" w14:textId="77777777" w:rsidR="005E388B" w:rsidRPr="005E388B" w:rsidRDefault="005E388B" w:rsidP="005E388B">
      <w:pPr>
        <w:widowControl w:val="0"/>
        <w:autoSpaceDE w:val="0"/>
        <w:autoSpaceDN w:val="0"/>
        <w:adjustRightInd w:val="0"/>
        <w:ind w:left="480" w:hanging="480"/>
        <w:jc w:val="both"/>
        <w:rPr>
          <w:noProof/>
        </w:rPr>
      </w:pPr>
      <w:r w:rsidRPr="005E388B">
        <w:rPr>
          <w:noProof/>
        </w:rPr>
        <w:t xml:space="preserve">Zouboulis, Christos C. (2009). Sebaceous gland receptors. </w:t>
      </w:r>
      <w:r w:rsidRPr="005E388B">
        <w:rPr>
          <w:i/>
          <w:iCs/>
          <w:noProof/>
        </w:rPr>
        <w:t>Dermato-endocrinology</w:t>
      </w:r>
      <w:r w:rsidRPr="005E388B">
        <w:rPr>
          <w:noProof/>
        </w:rPr>
        <w:t xml:space="preserve">, </w:t>
      </w:r>
      <w:r w:rsidRPr="005E388B">
        <w:rPr>
          <w:i/>
          <w:iCs/>
          <w:noProof/>
        </w:rPr>
        <w:t>1</w:t>
      </w:r>
      <w:r w:rsidRPr="005E388B">
        <w:rPr>
          <w:noProof/>
        </w:rPr>
        <w:t>(2), 77–80.</w:t>
      </w:r>
    </w:p>
    <w:p w14:paraId="01BB74FC" w14:textId="7336BEB4" w:rsidR="00DA43A7" w:rsidRPr="00011604" w:rsidRDefault="005E388B" w:rsidP="005E388B">
      <w:pPr>
        <w:ind w:left="720" w:hanging="720"/>
        <w:jc w:val="both"/>
        <w:rPr>
          <w:lang w:val="pt-BR"/>
        </w:rPr>
      </w:pPr>
      <w:r>
        <w:fldChar w:fldCharType="end"/>
      </w:r>
    </w:p>
    <w:sectPr w:rsidR="00DA43A7" w:rsidRPr="00011604" w:rsidSect="00C5565C">
      <w:headerReference w:type="even" r:id="rId16"/>
      <w:headerReference w:type="default" r:id="rId17"/>
      <w:footerReference w:type="even" r:id="rId18"/>
      <w:footerReference w:type="default" r:id="rId19"/>
      <w:headerReference w:type="first" r:id="rId20"/>
      <w:footerReference w:type="first" r:id="rId21"/>
      <w:pgSz w:w="11907" w:h="16839"/>
      <w:pgMar w:top="1701" w:right="1701" w:bottom="1701" w:left="1701" w:header="720" w:footer="720" w:gutter="0"/>
      <w:pgNumType w:start="20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EC00" w14:textId="77777777" w:rsidR="00C5565C" w:rsidRDefault="00C5565C">
      <w:r>
        <w:separator/>
      </w:r>
    </w:p>
  </w:endnote>
  <w:endnote w:type="continuationSeparator" w:id="0">
    <w:p w14:paraId="0870D0BB" w14:textId="77777777" w:rsidR="00C5565C" w:rsidRDefault="00C5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1B8FCA6A" w:rsidR="00DA43A7" w:rsidRDefault="007A39F5">
    <w:pPr>
      <w:pBdr>
        <w:top w:val="nil"/>
        <w:left w:val="nil"/>
        <w:bottom w:val="nil"/>
        <w:right w:val="nil"/>
        <w:between w:val="nil"/>
      </w:pBdr>
      <w:tabs>
        <w:tab w:val="center" w:pos="4513"/>
        <w:tab w:val="right" w:pos="9026"/>
      </w:tabs>
      <w:rPr>
        <w:color w:val="000000"/>
      </w:rPr>
    </w:pPr>
    <w:r>
      <w:rPr>
        <w:i/>
        <w:iCs/>
      </w:rPr>
      <w:t>Asian Journal of Social and Humanities</w:t>
    </w:r>
    <w:r w:rsidRPr="00DE1F4E">
      <w:rPr>
        <w:noProof/>
      </w:rPr>
      <w:t xml:space="preserve">, </w:t>
    </w:r>
    <w:r w:rsidRPr="00B762D6">
      <w:rPr>
        <w:rFonts w:eastAsia="Calibri"/>
        <w:color w:val="000000"/>
        <w:lang w:val="en-ID"/>
      </w:rPr>
      <w:t>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37418EB7" w:rsidR="00DA43A7" w:rsidRDefault="007A39F5">
    <w:pPr>
      <w:pBdr>
        <w:top w:val="nil"/>
        <w:left w:val="nil"/>
        <w:bottom w:val="nil"/>
        <w:right w:val="nil"/>
        <w:between w:val="nil"/>
      </w:pBdr>
      <w:tabs>
        <w:tab w:val="center" w:pos="4513"/>
        <w:tab w:val="right" w:pos="9026"/>
      </w:tabs>
      <w:rPr>
        <w:color w:val="000000"/>
      </w:rPr>
    </w:pPr>
    <w:r>
      <w:rPr>
        <w:i/>
        <w:iCs/>
      </w:rPr>
      <w:t>Asian Journal of Social and Humanities</w:t>
    </w:r>
    <w:r w:rsidRPr="00DE1F4E">
      <w:rPr>
        <w:noProof/>
      </w:rPr>
      <w:t xml:space="preserve">, </w:t>
    </w:r>
    <w:r w:rsidRPr="00B762D6">
      <w:rPr>
        <w:rFonts w:eastAsia="Calibri"/>
        <w:color w:val="000000"/>
        <w:lang w:val="en-ID"/>
      </w:rPr>
      <w:t>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p w14:paraId="2E5EF18E" w14:textId="77777777" w:rsidR="00536ECF" w:rsidRDefault="00536E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54C40369" w:rsidR="00DA43A7" w:rsidRDefault="007A39F5">
    <w:pPr>
      <w:pBdr>
        <w:top w:val="nil"/>
        <w:left w:val="nil"/>
        <w:bottom w:val="nil"/>
        <w:right w:val="nil"/>
        <w:between w:val="nil"/>
      </w:pBdr>
      <w:tabs>
        <w:tab w:val="center" w:pos="4513"/>
        <w:tab w:val="right" w:pos="9026"/>
      </w:tabs>
      <w:rPr>
        <w:color w:val="000000"/>
      </w:rPr>
    </w:pPr>
    <w:r>
      <w:rPr>
        <w:i/>
        <w:iCs/>
      </w:rPr>
      <w:t>Asian Journal of Social and Humanities</w:t>
    </w:r>
    <w:r w:rsidRPr="00DE1F4E">
      <w:rPr>
        <w:noProof/>
      </w:rPr>
      <w:t xml:space="preserve">, </w:t>
    </w:r>
    <w:r w:rsidRPr="00B762D6">
      <w:rPr>
        <w:rFonts w:eastAsia="Calibri"/>
        <w:color w:val="000000"/>
        <w:lang w:val="en-ID"/>
      </w:rPr>
      <w:t>Vol. 2 No. 01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p w14:paraId="7C0B8C75" w14:textId="77777777" w:rsidR="00536ECF" w:rsidRDefault="00536E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ED25" w14:textId="77777777" w:rsidR="00C5565C" w:rsidRDefault="00C5565C">
      <w:r>
        <w:separator/>
      </w:r>
    </w:p>
  </w:footnote>
  <w:footnote w:type="continuationSeparator" w:id="0">
    <w:p w14:paraId="0F97BC03" w14:textId="77777777" w:rsidR="00C5565C" w:rsidRDefault="00C5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2E8C8952" w:rsidR="00DA43A7" w:rsidRPr="00B96C0C" w:rsidRDefault="007A39F5" w:rsidP="00B96C0C">
    <w:pPr>
      <w:pStyle w:val="Header"/>
    </w:pPr>
    <w:r w:rsidRPr="007A39F5">
      <w:rPr>
        <w:color w:val="000000"/>
      </w:rPr>
      <w:t>Denny Saptono Fahrurodzi, Kunlawat Thadanipon, Sasivimol Rattanasiri, Ammarin Thakkinstian</w:t>
    </w:r>
    <w:r w:rsidR="000B01C0">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0CC137F1" w:rsidR="00DA43A7" w:rsidRDefault="007A39F5" w:rsidP="00B96C0C">
    <w:pPr>
      <w:pBdr>
        <w:top w:val="nil"/>
        <w:left w:val="nil"/>
        <w:bottom w:val="nil"/>
        <w:right w:val="nil"/>
        <w:between w:val="nil"/>
      </w:pBdr>
      <w:tabs>
        <w:tab w:val="center" w:pos="4513"/>
        <w:tab w:val="right" w:pos="9026"/>
      </w:tabs>
      <w:jc w:val="right"/>
      <w:rPr>
        <w:color w:val="000000"/>
      </w:rPr>
    </w:pPr>
    <w:r w:rsidRPr="007A39F5">
      <w:rPr>
        <w:color w:val="000000"/>
      </w:rPr>
      <w:t>Antihistamine As an Adjunctive Treatment In Acne Vulgaris: A Systematic Review And Meta-Analysis</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Default="00000000">
    <w:pPr>
      <w:pBdr>
        <w:top w:val="nil"/>
        <w:left w:val="nil"/>
        <w:bottom w:val="nil"/>
        <w:right w:val="nil"/>
        <w:between w:val="nil"/>
      </w:pBdr>
      <w:tabs>
        <w:tab w:val="center" w:pos="4513"/>
        <w:tab w:val="right" w:pos="9026"/>
      </w:tabs>
      <w:rPr>
        <w:b/>
        <w:color w:val="FFC000"/>
        <w:sz w:val="36"/>
        <w:szCs w:val="36"/>
      </w:rPr>
    </w:pPr>
    <w:r>
      <w:rPr>
        <w:rFonts w:ascii="Calibri" w:eastAsia="Calibri" w:hAnsi="Calibri" w:cs="Calibri"/>
        <w:color w:val="000000"/>
        <w:sz w:val="2"/>
        <w:szCs w:val="2"/>
        <w:highlight w:val="black"/>
      </w:rPr>
      <w:t xml:space="preserve"> </w:t>
    </w:r>
    <w:r>
      <w:rPr>
        <w:rFonts w:ascii="Calibri" w:eastAsia="Calibri" w:hAnsi="Calibri" w:cs="Calibri"/>
        <w:color w:val="000000"/>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516637298" name="Picture 516637298"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19FB5C56" w:rsidR="00DA43A7" w:rsidRDefault="007A39F5">
    <w:pPr>
      <w:pBdr>
        <w:top w:val="nil"/>
        <w:left w:val="nil"/>
        <w:bottom w:val="single" w:sz="6" w:space="1" w:color="000000"/>
        <w:right w:val="nil"/>
        <w:between w:val="nil"/>
      </w:pBdr>
      <w:tabs>
        <w:tab w:val="center" w:pos="4513"/>
        <w:tab w:val="right" w:pos="9026"/>
      </w:tabs>
      <w:rPr>
        <w:color w:val="0000FF"/>
      </w:rPr>
    </w:pPr>
    <w:r w:rsidRPr="007A39F5">
      <w:rPr>
        <w:rFonts w:ascii="Calibri" w:eastAsia="Calibri" w:hAnsi="Calibri" w:cs="Calibri"/>
        <w:color w:val="000000"/>
      </w:rPr>
      <w:t>Vol. 2 No. 01 October 2023</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FF"/>
        <w:u w:val="single"/>
      </w:rPr>
      <w:t>https://ajosh.org/</w:t>
    </w:r>
  </w:p>
  <w:p w14:paraId="2F2FA55C" w14:textId="77777777" w:rsidR="00536ECF" w:rsidRDefault="00536ECF"/>
  <w:p w14:paraId="2966E25F" w14:textId="77777777" w:rsidR="00536ECF" w:rsidRDefault="00536ECF"/>
  <w:p w14:paraId="12F3916B" w14:textId="77777777" w:rsidR="00536ECF" w:rsidRDefault="00536E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18"/>
    <w:multiLevelType w:val="hybridMultilevel"/>
    <w:tmpl w:val="E8D01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D67204"/>
    <w:multiLevelType w:val="hybridMultilevel"/>
    <w:tmpl w:val="70948126"/>
    <w:lvl w:ilvl="0" w:tplc="909079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32198E"/>
    <w:multiLevelType w:val="multilevel"/>
    <w:tmpl w:val="0A6C52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6"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5" w15:restartNumberingAfterBreak="0">
    <w:nsid w:val="662C007D"/>
    <w:multiLevelType w:val="hybridMultilevel"/>
    <w:tmpl w:val="EE5837FE"/>
    <w:lvl w:ilvl="0" w:tplc="592C6AF0">
      <w:numFmt w:val="bullet"/>
      <w:lvlText w:val="*"/>
      <w:lvlJc w:val="left"/>
      <w:pPr>
        <w:ind w:left="546" w:hanging="212"/>
      </w:pPr>
      <w:rPr>
        <w:rFonts w:ascii="Times New Roman" w:eastAsia="Times New Roman" w:hAnsi="Times New Roman" w:cs="Times New Roman" w:hint="default"/>
        <w:b/>
        <w:bCs/>
        <w:w w:val="100"/>
        <w:sz w:val="24"/>
        <w:szCs w:val="24"/>
        <w:lang w:val="en-US" w:eastAsia="en-US" w:bidi="ar-SA"/>
      </w:rPr>
    </w:lvl>
    <w:lvl w:ilvl="1" w:tplc="17FC86CC">
      <w:numFmt w:val="bullet"/>
      <w:lvlText w:val="•"/>
      <w:lvlJc w:val="left"/>
      <w:pPr>
        <w:ind w:left="1402" w:hanging="212"/>
      </w:pPr>
      <w:rPr>
        <w:rFonts w:hint="default"/>
        <w:lang w:val="en-US" w:eastAsia="en-US" w:bidi="ar-SA"/>
      </w:rPr>
    </w:lvl>
    <w:lvl w:ilvl="2" w:tplc="BCE64520">
      <w:numFmt w:val="bullet"/>
      <w:lvlText w:val="•"/>
      <w:lvlJc w:val="left"/>
      <w:pPr>
        <w:ind w:left="2265" w:hanging="212"/>
      </w:pPr>
      <w:rPr>
        <w:rFonts w:hint="default"/>
        <w:lang w:val="en-US" w:eastAsia="en-US" w:bidi="ar-SA"/>
      </w:rPr>
    </w:lvl>
    <w:lvl w:ilvl="3" w:tplc="2E4ED62C">
      <w:numFmt w:val="bullet"/>
      <w:lvlText w:val="•"/>
      <w:lvlJc w:val="left"/>
      <w:pPr>
        <w:ind w:left="3127" w:hanging="212"/>
      </w:pPr>
      <w:rPr>
        <w:rFonts w:hint="default"/>
        <w:lang w:val="en-US" w:eastAsia="en-US" w:bidi="ar-SA"/>
      </w:rPr>
    </w:lvl>
    <w:lvl w:ilvl="4" w:tplc="030AEFC0">
      <w:numFmt w:val="bullet"/>
      <w:lvlText w:val="•"/>
      <w:lvlJc w:val="left"/>
      <w:pPr>
        <w:ind w:left="3990" w:hanging="212"/>
      </w:pPr>
      <w:rPr>
        <w:rFonts w:hint="default"/>
        <w:lang w:val="en-US" w:eastAsia="en-US" w:bidi="ar-SA"/>
      </w:rPr>
    </w:lvl>
    <w:lvl w:ilvl="5" w:tplc="4758904A">
      <w:numFmt w:val="bullet"/>
      <w:lvlText w:val="•"/>
      <w:lvlJc w:val="left"/>
      <w:pPr>
        <w:ind w:left="4853" w:hanging="212"/>
      </w:pPr>
      <w:rPr>
        <w:rFonts w:hint="default"/>
        <w:lang w:val="en-US" w:eastAsia="en-US" w:bidi="ar-SA"/>
      </w:rPr>
    </w:lvl>
    <w:lvl w:ilvl="6" w:tplc="05B67968">
      <w:numFmt w:val="bullet"/>
      <w:lvlText w:val="•"/>
      <w:lvlJc w:val="left"/>
      <w:pPr>
        <w:ind w:left="5715" w:hanging="212"/>
      </w:pPr>
      <w:rPr>
        <w:rFonts w:hint="default"/>
        <w:lang w:val="en-US" w:eastAsia="en-US" w:bidi="ar-SA"/>
      </w:rPr>
    </w:lvl>
    <w:lvl w:ilvl="7" w:tplc="0FA4453E">
      <w:numFmt w:val="bullet"/>
      <w:lvlText w:val="•"/>
      <w:lvlJc w:val="left"/>
      <w:pPr>
        <w:ind w:left="6578" w:hanging="212"/>
      </w:pPr>
      <w:rPr>
        <w:rFonts w:hint="default"/>
        <w:lang w:val="en-US" w:eastAsia="en-US" w:bidi="ar-SA"/>
      </w:rPr>
    </w:lvl>
    <w:lvl w:ilvl="8" w:tplc="D4D8FB20">
      <w:numFmt w:val="bullet"/>
      <w:lvlText w:val="•"/>
      <w:lvlJc w:val="left"/>
      <w:pPr>
        <w:ind w:left="7441" w:hanging="212"/>
      </w:pPr>
      <w:rPr>
        <w:rFonts w:hint="default"/>
        <w:lang w:val="en-US" w:eastAsia="en-US" w:bidi="ar-SA"/>
      </w:rPr>
    </w:lvl>
  </w:abstractNum>
  <w:abstractNum w:abstractNumId="16"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79410C40"/>
    <w:multiLevelType w:val="hybridMultilevel"/>
    <w:tmpl w:val="7DF6DB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83895093">
    <w:abstractNumId w:val="12"/>
  </w:num>
  <w:num w:numId="2" w16cid:durableId="234707001">
    <w:abstractNumId w:val="3"/>
  </w:num>
  <w:num w:numId="3" w16cid:durableId="543710048">
    <w:abstractNumId w:val="17"/>
  </w:num>
  <w:num w:numId="4" w16cid:durableId="402216284">
    <w:abstractNumId w:val="5"/>
  </w:num>
  <w:num w:numId="5" w16cid:durableId="163130269">
    <w:abstractNumId w:val="8"/>
  </w:num>
  <w:num w:numId="6" w16cid:durableId="182087131">
    <w:abstractNumId w:val="14"/>
  </w:num>
  <w:num w:numId="7" w16cid:durableId="784732157">
    <w:abstractNumId w:val="2"/>
  </w:num>
  <w:num w:numId="8" w16cid:durableId="70274681">
    <w:abstractNumId w:val="16"/>
  </w:num>
  <w:num w:numId="9" w16cid:durableId="1449813322">
    <w:abstractNumId w:val="19"/>
  </w:num>
  <w:num w:numId="10" w16cid:durableId="360280672">
    <w:abstractNumId w:val="13"/>
  </w:num>
  <w:num w:numId="11" w16cid:durableId="493225162">
    <w:abstractNumId w:val="7"/>
  </w:num>
  <w:num w:numId="12" w16cid:durableId="1913613710">
    <w:abstractNumId w:val="18"/>
  </w:num>
  <w:num w:numId="13" w16cid:durableId="533157813">
    <w:abstractNumId w:val="11"/>
  </w:num>
  <w:num w:numId="14" w16cid:durableId="375399995">
    <w:abstractNumId w:val="6"/>
  </w:num>
  <w:num w:numId="15" w16cid:durableId="1548294171">
    <w:abstractNumId w:val="9"/>
  </w:num>
  <w:num w:numId="16" w16cid:durableId="1644772968">
    <w:abstractNumId w:val="10"/>
  </w:num>
  <w:num w:numId="17" w16cid:durableId="184055181">
    <w:abstractNumId w:val="0"/>
  </w:num>
  <w:num w:numId="18" w16cid:durableId="354843007">
    <w:abstractNumId w:val="1"/>
  </w:num>
  <w:num w:numId="19" w16cid:durableId="1096245190">
    <w:abstractNumId w:val="4"/>
  </w:num>
  <w:num w:numId="20" w16cid:durableId="1805851050">
    <w:abstractNumId w:val="20"/>
  </w:num>
  <w:num w:numId="21" w16cid:durableId="390808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B01C0"/>
    <w:rsid w:val="000C0187"/>
    <w:rsid w:val="00123C1F"/>
    <w:rsid w:val="00141BD1"/>
    <w:rsid w:val="001C32F4"/>
    <w:rsid w:val="001C374B"/>
    <w:rsid w:val="0020383F"/>
    <w:rsid w:val="002361C4"/>
    <w:rsid w:val="0024578F"/>
    <w:rsid w:val="002804A6"/>
    <w:rsid w:val="0029752B"/>
    <w:rsid w:val="002B1310"/>
    <w:rsid w:val="002B35C4"/>
    <w:rsid w:val="002D413E"/>
    <w:rsid w:val="00303008"/>
    <w:rsid w:val="0030638A"/>
    <w:rsid w:val="0039450E"/>
    <w:rsid w:val="003A6D32"/>
    <w:rsid w:val="003C488B"/>
    <w:rsid w:val="003D53D8"/>
    <w:rsid w:val="003F40E6"/>
    <w:rsid w:val="00471483"/>
    <w:rsid w:val="0048131F"/>
    <w:rsid w:val="004841ED"/>
    <w:rsid w:val="004E0DEC"/>
    <w:rsid w:val="00535D62"/>
    <w:rsid w:val="00536ECF"/>
    <w:rsid w:val="00537177"/>
    <w:rsid w:val="005E388B"/>
    <w:rsid w:val="006218E6"/>
    <w:rsid w:val="006838CC"/>
    <w:rsid w:val="006B4D3B"/>
    <w:rsid w:val="006D1C49"/>
    <w:rsid w:val="006F1507"/>
    <w:rsid w:val="00704962"/>
    <w:rsid w:val="007367AC"/>
    <w:rsid w:val="00761016"/>
    <w:rsid w:val="00763E27"/>
    <w:rsid w:val="007A39F5"/>
    <w:rsid w:val="007E005E"/>
    <w:rsid w:val="008412A7"/>
    <w:rsid w:val="00850F0C"/>
    <w:rsid w:val="00872F78"/>
    <w:rsid w:val="00881589"/>
    <w:rsid w:val="00892439"/>
    <w:rsid w:val="00965FAD"/>
    <w:rsid w:val="00984D46"/>
    <w:rsid w:val="009B4FD0"/>
    <w:rsid w:val="00A179F4"/>
    <w:rsid w:val="00AA2330"/>
    <w:rsid w:val="00B42B48"/>
    <w:rsid w:val="00B6312F"/>
    <w:rsid w:val="00B96C0C"/>
    <w:rsid w:val="00BB1BCD"/>
    <w:rsid w:val="00BE73AB"/>
    <w:rsid w:val="00C32891"/>
    <w:rsid w:val="00C432CC"/>
    <w:rsid w:val="00C5565C"/>
    <w:rsid w:val="00C62138"/>
    <w:rsid w:val="00C96C35"/>
    <w:rsid w:val="00CA241C"/>
    <w:rsid w:val="00CA5F9E"/>
    <w:rsid w:val="00CD053A"/>
    <w:rsid w:val="00D310DC"/>
    <w:rsid w:val="00D36403"/>
    <w:rsid w:val="00D65A01"/>
    <w:rsid w:val="00DA26A7"/>
    <w:rsid w:val="00DA43A7"/>
    <w:rsid w:val="00DC1660"/>
    <w:rsid w:val="00E30F7A"/>
    <w:rsid w:val="00E510CF"/>
    <w:rsid w:val="00E54640"/>
    <w:rsid w:val="00E66ABF"/>
    <w:rsid w:val="00ED765A"/>
    <w:rsid w:val="00EF2784"/>
    <w:rsid w:val="00F003D0"/>
    <w:rsid w:val="00F42BB9"/>
    <w:rsid w:val="00F75415"/>
    <w:rsid w:val="00FA419F"/>
    <w:rsid w:val="00FE3A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1"/>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customStyle="1" w:styleId="TableParagraph">
    <w:name w:val="Table Paragraph"/>
    <w:basedOn w:val="Normal"/>
    <w:uiPriority w:val="1"/>
    <w:qFormat/>
    <w:rsid w:val="004841ED"/>
    <w:pPr>
      <w:widowControl w:val="0"/>
      <w:autoSpaceDE w:val="0"/>
      <w:autoSpaceDN w:val="0"/>
    </w:pPr>
    <w:rPr>
      <w:sz w:val="22"/>
      <w:szCs w:val="22"/>
      <w:lang w:val="en-US" w:eastAsia="en-US"/>
    </w:rPr>
  </w:style>
  <w:style w:type="paragraph" w:styleId="BodyText">
    <w:name w:val="Body Text"/>
    <w:basedOn w:val="Normal"/>
    <w:link w:val="BodyTextChar"/>
    <w:uiPriority w:val="1"/>
    <w:qFormat/>
    <w:rsid w:val="002361C4"/>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2361C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1D6C-171B-4566-A610-0BD99D5F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11793</Words>
  <Characters>67226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19</cp:revision>
  <cp:lastPrinted>2023-10-26T03:26:00Z</cp:lastPrinted>
  <dcterms:created xsi:type="dcterms:W3CDTF">2023-10-16T03:34:00Z</dcterms:created>
  <dcterms:modified xsi:type="dcterms:W3CDTF">2024-01-17T04:18:00Z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